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CA" w:rsidRPr="000205CA" w:rsidRDefault="000205CA" w:rsidP="000205CA">
      <w:pPr>
        <w:pBdr>
          <w:bottom w:val="single" w:sz="6" w:space="12" w:color="E0E0E0"/>
        </w:pBdr>
        <w:spacing w:after="0" w:line="240" w:lineRule="auto"/>
        <w:jc w:val="both"/>
        <w:outlineLvl w:val="1"/>
        <w:rPr>
          <w:rFonts w:eastAsia="Times New Roman" w:cs="Times New Roman"/>
          <w:b/>
          <w:bCs/>
          <w:color w:val="626296"/>
          <w:sz w:val="24"/>
          <w:szCs w:val="24"/>
          <w:lang w:eastAsia="it-IT"/>
        </w:rPr>
      </w:pPr>
      <w:r w:rsidRPr="000205CA">
        <w:rPr>
          <w:rFonts w:eastAsia="Times New Roman" w:cs="Times New Roman"/>
          <w:b/>
          <w:bCs/>
          <w:color w:val="626296"/>
          <w:sz w:val="24"/>
          <w:szCs w:val="24"/>
          <w:lang w:eastAsia="it-IT"/>
        </w:rPr>
        <w:t xml:space="preserve">Sistema di data </w:t>
      </w:r>
      <w:proofErr w:type="spellStart"/>
      <w:r w:rsidRPr="000205CA">
        <w:rPr>
          <w:rFonts w:eastAsia="Times New Roman" w:cs="Times New Roman"/>
          <w:b/>
          <w:bCs/>
          <w:color w:val="626296"/>
          <w:sz w:val="24"/>
          <w:szCs w:val="24"/>
          <w:lang w:eastAsia="it-IT"/>
        </w:rPr>
        <w:t>protection</w:t>
      </w:r>
      <w:proofErr w:type="spellEnd"/>
      <w:r w:rsidRPr="000205CA">
        <w:rPr>
          <w:rFonts w:eastAsia="Times New Roman" w:cs="Times New Roman"/>
          <w:b/>
          <w:bCs/>
          <w:color w:val="626296"/>
          <w:sz w:val="24"/>
          <w:szCs w:val="24"/>
          <w:lang w:eastAsia="it-IT"/>
        </w:rPr>
        <w:t>: l’importanza della documentazione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I titolari del trattamento non solo sono tenuti a </w:t>
      </w:r>
      <w:r w:rsidRPr="009F1886">
        <w:rPr>
          <w:rFonts w:eastAsia="Times New Roman" w:cs="Times New Roman"/>
          <w:bCs/>
          <w:sz w:val="24"/>
          <w:szCs w:val="24"/>
          <w:lang w:eastAsia="it-IT"/>
        </w:rPr>
        <w:t>mettere in atto misure adeguate ed efficaci</w:t>
      </w:r>
      <w:r w:rsidRPr="009F1886">
        <w:rPr>
          <w:rFonts w:eastAsia="Times New Roman" w:cs="Times New Roman"/>
          <w:sz w:val="24"/>
          <w:szCs w:val="24"/>
          <w:lang w:eastAsia="it-IT"/>
        </w:rPr>
        <w:t xml:space="preserve"> ma devono anche essere </w:t>
      </w:r>
      <w:r w:rsidRPr="009F1886">
        <w:rPr>
          <w:rFonts w:eastAsia="Times New Roman" w:cs="Times New Roman"/>
          <w:bCs/>
          <w:sz w:val="24"/>
          <w:szCs w:val="24"/>
          <w:lang w:eastAsia="it-IT"/>
        </w:rPr>
        <w:t>in grado di dimostrare la conformità delle attività di trattamento con lo stesso GDPR</w:t>
      </w:r>
      <w:r w:rsidRPr="009F1886">
        <w:rPr>
          <w:rFonts w:eastAsia="Times New Roman" w:cs="Times New Roman"/>
          <w:sz w:val="24"/>
          <w:szCs w:val="24"/>
          <w:lang w:eastAsia="it-IT"/>
        </w:rPr>
        <w:t>.</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In concreto, questa </w:t>
      </w:r>
      <w:proofErr w:type="spellStart"/>
      <w:r w:rsidRPr="009F1886">
        <w:rPr>
          <w:rFonts w:eastAsia="Times New Roman" w:cs="Times New Roman"/>
          <w:sz w:val="24"/>
          <w:szCs w:val="24"/>
          <w:lang w:eastAsia="it-IT"/>
        </w:rPr>
        <w:t>mission</w:t>
      </w:r>
      <w:proofErr w:type="spellEnd"/>
      <w:r w:rsidRPr="009F1886">
        <w:rPr>
          <w:rFonts w:eastAsia="Times New Roman" w:cs="Times New Roman"/>
          <w:sz w:val="24"/>
          <w:szCs w:val="24"/>
          <w:lang w:eastAsia="it-IT"/>
        </w:rPr>
        <w:t xml:space="preserve"> deve essere trasfusa in un </w:t>
      </w:r>
      <w:r w:rsidRPr="009F1886">
        <w:rPr>
          <w:rFonts w:eastAsia="Times New Roman" w:cs="Times New Roman"/>
          <w:bCs/>
          <w:sz w:val="24"/>
          <w:szCs w:val="24"/>
          <w:lang w:eastAsia="it-IT"/>
        </w:rPr>
        <w:t>SGP – sistema di gestione privacy</w:t>
      </w:r>
      <w:r w:rsidRPr="009F1886">
        <w:rPr>
          <w:rFonts w:eastAsia="Times New Roman" w:cs="Times New Roman"/>
          <w:sz w:val="24"/>
          <w:szCs w:val="24"/>
          <w:lang w:eastAsia="it-IT"/>
        </w:rPr>
        <w:t>, cioè un sistema di documenti, regole, formazione e procedure di controllo omogeneo ed integrato, in altre parole armonioso. Caratteristiche peculiari: un SGP deve prevedere il suo aggiornamento in relazione all’evoluzione del contesto, garantendo comunque l’efficacia e l’efficienza dei processi aziendali.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Comunque, tutte le attività di trattamento dei dati personali, fin dalla progettazione, devono essere comprovate mediante la produzione, l’aggiornamento e la conservazione di adeguata documentazione.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Va innanzitutto precisato che per </w:t>
      </w:r>
      <w:r w:rsidRPr="009F1886">
        <w:rPr>
          <w:rFonts w:eastAsia="Times New Roman" w:cs="Times New Roman"/>
          <w:b/>
          <w:bCs/>
          <w:sz w:val="24"/>
          <w:szCs w:val="24"/>
          <w:lang w:eastAsia="it-IT"/>
        </w:rPr>
        <w:t>documento</w:t>
      </w:r>
      <w:r w:rsidRPr="009F1886">
        <w:rPr>
          <w:rFonts w:eastAsia="Times New Roman" w:cs="Times New Roman"/>
          <w:sz w:val="24"/>
          <w:szCs w:val="24"/>
          <w:lang w:eastAsia="it-IT"/>
        </w:rPr>
        <w:t xml:space="preserve"> si intende ogni rappresentazione grafica, informatica, fotocinematografica, elettromagnetica o di qualunque altra specie del contenuto di atti, fatti o dati giuridicamente rilevanti; anche interni o non, relativi ad uno specifico processo aziendale o procedimento amministrativo</w:t>
      </w:r>
      <w:hyperlink r:id="rId6" w:anchor="post-46872-footnote-5" w:history="1">
        <w:r w:rsidRPr="009F1886">
          <w:rPr>
            <w:rFonts w:eastAsia="Times New Roman" w:cs="Times New Roman"/>
            <w:sz w:val="24"/>
            <w:szCs w:val="24"/>
            <w:u w:val="single"/>
            <w:vertAlign w:val="superscript"/>
            <w:lang w:eastAsia="it-IT"/>
          </w:rPr>
          <w:t>[5]</w:t>
        </w:r>
      </w:hyperlink>
      <w:r w:rsidRPr="009F1886">
        <w:rPr>
          <w:rFonts w:eastAsia="Times New Roman" w:cs="Times New Roman"/>
          <w:sz w:val="24"/>
          <w:szCs w:val="24"/>
          <w:lang w:eastAsia="it-IT"/>
        </w:rPr>
        <w:t xml:space="preserve">; i.e. tutti i documenti cartacei ed informatici e in generale i </w:t>
      </w:r>
      <w:proofErr w:type="spellStart"/>
      <w:r w:rsidRPr="009F1886">
        <w:rPr>
          <w:rFonts w:eastAsia="Times New Roman" w:cs="Times New Roman"/>
          <w:sz w:val="24"/>
          <w:szCs w:val="24"/>
          <w:lang w:eastAsia="it-IT"/>
        </w:rPr>
        <w:t>records</w:t>
      </w:r>
      <w:proofErr w:type="spellEnd"/>
      <w:r w:rsidRPr="009F1886">
        <w:rPr>
          <w:rFonts w:eastAsia="Times New Roman" w:cs="Times New Roman"/>
          <w:sz w:val="24"/>
          <w:szCs w:val="24"/>
          <w:lang w:eastAsia="it-IT"/>
        </w:rPr>
        <w:t xml:space="preserve"> su ogni tipo di supporto idoneo a rendere evidente l’informazione (</w:t>
      </w:r>
      <w:proofErr w:type="spellStart"/>
      <w:r w:rsidRPr="009F1886">
        <w:rPr>
          <w:rFonts w:eastAsia="Times New Roman" w:cs="Times New Roman"/>
          <w:sz w:val="24"/>
          <w:szCs w:val="24"/>
          <w:lang w:eastAsia="it-IT"/>
        </w:rPr>
        <w:t>e.i.</w:t>
      </w:r>
      <w:proofErr w:type="spellEnd"/>
      <w:r w:rsidRPr="009F1886">
        <w:rPr>
          <w:rFonts w:eastAsia="Times New Roman" w:cs="Times New Roman"/>
          <w:sz w:val="24"/>
          <w:szCs w:val="24"/>
          <w:lang w:eastAsia="it-IT"/>
        </w:rPr>
        <w:t xml:space="preserve"> log file, audio, video ecc.).</w:t>
      </w:r>
    </w:p>
    <w:p w:rsidR="000205CA" w:rsidRPr="000205CA" w:rsidRDefault="000205CA" w:rsidP="000205CA">
      <w:pPr>
        <w:pBdr>
          <w:bottom w:val="single" w:sz="6" w:space="12" w:color="E0E0E0"/>
        </w:pBdr>
        <w:spacing w:before="240" w:after="240" w:line="468" w:lineRule="atLeast"/>
        <w:jc w:val="both"/>
        <w:outlineLvl w:val="1"/>
        <w:rPr>
          <w:rFonts w:eastAsia="Times New Roman" w:cs="Times New Roman"/>
          <w:b/>
          <w:bCs/>
          <w:color w:val="626296"/>
          <w:sz w:val="24"/>
          <w:szCs w:val="24"/>
          <w:lang w:eastAsia="it-IT"/>
        </w:rPr>
      </w:pPr>
      <w:r w:rsidRPr="000205CA">
        <w:rPr>
          <w:rFonts w:eastAsia="Times New Roman" w:cs="Times New Roman"/>
          <w:b/>
          <w:bCs/>
          <w:color w:val="626296"/>
          <w:sz w:val="24"/>
          <w:szCs w:val="24"/>
          <w:lang w:eastAsia="it-IT"/>
        </w:rPr>
        <w:t>Documenti obbligatori e non obbligatori (ma raccomandati)</w:t>
      </w:r>
    </w:p>
    <w:p w:rsidR="000205CA" w:rsidRPr="009F1886" w:rsidRDefault="000205CA" w:rsidP="000205CA">
      <w:pPr>
        <w:spacing w:after="24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Esaminiamo di seguito quale documentazione è auspicabile sia presente all’interno delle organizzazioni pubbliche e private, indicando da </w:t>
      </w:r>
      <w:r w:rsidRPr="009F1886">
        <w:rPr>
          <w:rFonts w:eastAsia="Times New Roman" w:cs="Times New Roman"/>
          <w:b/>
          <w:bCs/>
          <w:sz w:val="24"/>
          <w:szCs w:val="24"/>
          <w:lang w:eastAsia="it-IT"/>
        </w:rPr>
        <w:t xml:space="preserve">chi </w:t>
      </w:r>
      <w:r w:rsidRPr="009F1886">
        <w:rPr>
          <w:rFonts w:eastAsia="Times New Roman" w:cs="Times New Roman"/>
          <w:sz w:val="24"/>
          <w:szCs w:val="24"/>
          <w:lang w:eastAsia="it-IT"/>
        </w:rPr>
        <w:t xml:space="preserve">e </w:t>
      </w:r>
      <w:r w:rsidRPr="009F1886">
        <w:rPr>
          <w:rFonts w:eastAsia="Times New Roman" w:cs="Times New Roman"/>
          <w:b/>
          <w:bCs/>
          <w:sz w:val="24"/>
          <w:szCs w:val="24"/>
          <w:lang w:eastAsia="it-IT"/>
        </w:rPr>
        <w:t>come</w:t>
      </w:r>
      <w:r w:rsidRPr="009F1886">
        <w:rPr>
          <w:rFonts w:eastAsia="Times New Roman" w:cs="Times New Roman"/>
          <w:sz w:val="24"/>
          <w:szCs w:val="24"/>
          <w:lang w:eastAsia="it-IT"/>
        </w:rPr>
        <w:t xml:space="preserve"> va prodotta, aggiornata e conservata e precisando che alcuni documenti sono prescritti come obbligatori dal GDPR mentre altri sono raccomandati come utili strumenti di </w:t>
      </w:r>
      <w:proofErr w:type="spellStart"/>
      <w:r w:rsidRPr="009F1886">
        <w:rPr>
          <w:rFonts w:eastAsia="Times New Roman" w:cs="Times New Roman"/>
          <w:sz w:val="24"/>
          <w:szCs w:val="24"/>
          <w:lang w:eastAsia="it-IT"/>
        </w:rPr>
        <w:t>governance</w:t>
      </w:r>
      <w:proofErr w:type="spellEnd"/>
      <w:r w:rsidRPr="009F1886">
        <w:rPr>
          <w:rFonts w:eastAsia="Times New Roman" w:cs="Times New Roman"/>
          <w:sz w:val="24"/>
          <w:szCs w:val="24"/>
          <w:lang w:eastAsia="it-IT"/>
        </w:rPr>
        <w:t xml:space="preserve"> del sistema.</w:t>
      </w: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Il “Privacy Dashboard” e documenti connessi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Si tratta di un documento non previsto dal GDPR e quindi non obbligatorio anche se per la sua utilità è fortemente raccomandato. Da molti è denominato “Manuale Privacy”, o </w:t>
      </w:r>
      <w:r w:rsidRPr="009F1886">
        <w:rPr>
          <w:rFonts w:eastAsia="Times New Roman" w:cs="Times New Roman"/>
          <w:b/>
          <w:bCs/>
          <w:sz w:val="24"/>
          <w:szCs w:val="24"/>
          <w:lang w:eastAsia="it-IT"/>
        </w:rPr>
        <w:t xml:space="preserve">“Privacy Dashboard”, </w:t>
      </w:r>
      <w:r w:rsidRPr="009F1886">
        <w:rPr>
          <w:rFonts w:eastAsia="Times New Roman" w:cs="Times New Roman"/>
          <w:sz w:val="24"/>
          <w:szCs w:val="24"/>
          <w:lang w:eastAsia="it-IT"/>
        </w:rPr>
        <w:t xml:space="preserve">un vero e proprio </w:t>
      </w:r>
      <w:r w:rsidRPr="009F1886">
        <w:rPr>
          <w:rFonts w:eastAsia="Times New Roman" w:cs="Times New Roman"/>
          <w:b/>
          <w:bCs/>
          <w:sz w:val="24"/>
          <w:szCs w:val="24"/>
          <w:lang w:eastAsia="it-IT"/>
        </w:rPr>
        <w:t>strumento di controllo</w:t>
      </w:r>
      <w:r w:rsidRPr="009F1886">
        <w:rPr>
          <w:rFonts w:eastAsia="Times New Roman" w:cs="Times New Roman"/>
          <w:sz w:val="24"/>
          <w:szCs w:val="24"/>
          <w:lang w:eastAsia="it-IT"/>
        </w:rPr>
        <w:t xml:space="preserve">, un </w:t>
      </w:r>
      <w:r w:rsidRPr="009F1886">
        <w:rPr>
          <w:rFonts w:eastAsia="Times New Roman" w:cs="Times New Roman"/>
          <w:b/>
          <w:bCs/>
          <w:sz w:val="24"/>
          <w:szCs w:val="24"/>
          <w:lang w:eastAsia="it-IT"/>
        </w:rPr>
        <w:t>cruscotto operativo: s</w:t>
      </w:r>
      <w:r w:rsidRPr="009F1886">
        <w:rPr>
          <w:rFonts w:eastAsia="Times New Roman" w:cs="Times New Roman"/>
          <w:sz w:val="24"/>
          <w:szCs w:val="24"/>
          <w:lang w:eastAsia="it-IT"/>
        </w:rPr>
        <w:t xml:space="preserve">i tratta di un brogliaccio, un documento sinottico che offre una vista completa di </w:t>
      </w:r>
      <w:r w:rsidRPr="009F1886">
        <w:rPr>
          <w:rFonts w:eastAsia="Times New Roman" w:cs="Times New Roman"/>
          <w:b/>
          <w:bCs/>
          <w:sz w:val="24"/>
          <w:szCs w:val="24"/>
          <w:lang w:eastAsia="it-IT"/>
        </w:rPr>
        <w:t>“chi”</w:t>
      </w:r>
      <w:r w:rsidRPr="009F1886">
        <w:rPr>
          <w:rFonts w:eastAsia="Times New Roman" w:cs="Times New Roman"/>
          <w:sz w:val="24"/>
          <w:szCs w:val="24"/>
          <w:lang w:eastAsia="it-IT"/>
        </w:rPr>
        <w:t xml:space="preserve"> deve fare </w:t>
      </w:r>
      <w:r w:rsidRPr="009F1886">
        <w:rPr>
          <w:rFonts w:eastAsia="Times New Roman" w:cs="Times New Roman"/>
          <w:b/>
          <w:bCs/>
          <w:sz w:val="24"/>
          <w:szCs w:val="24"/>
          <w:lang w:eastAsia="it-IT"/>
        </w:rPr>
        <w:t>“che cosa”</w:t>
      </w:r>
      <w:r w:rsidRPr="009F1886">
        <w:rPr>
          <w:rFonts w:eastAsia="Times New Roman" w:cs="Times New Roman"/>
          <w:sz w:val="24"/>
          <w:szCs w:val="24"/>
          <w:lang w:eastAsia="it-IT"/>
        </w:rPr>
        <w:t xml:space="preserve"> all’interno dell’organizzazione in materia di protezione dei dati personali.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Quindi, questo particolare documento dovrà riportare </w:t>
      </w:r>
      <w:r w:rsidRPr="009F1886">
        <w:rPr>
          <w:rFonts w:eastAsia="Times New Roman" w:cs="Times New Roman"/>
          <w:b/>
          <w:bCs/>
          <w:sz w:val="24"/>
          <w:szCs w:val="24"/>
          <w:lang w:eastAsia="it-IT"/>
        </w:rPr>
        <w:t xml:space="preserve">l’organigramma privacy </w:t>
      </w:r>
      <w:r w:rsidRPr="009F1886">
        <w:rPr>
          <w:rFonts w:eastAsia="Times New Roman" w:cs="Times New Roman"/>
          <w:sz w:val="24"/>
          <w:szCs w:val="24"/>
          <w:lang w:eastAsia="it-IT"/>
        </w:rPr>
        <w:t xml:space="preserve">con una descrizione generale dei compiti, ripartiti tra funzioni aziendali/aree organizzative omogenee e con l’indicazione </w:t>
      </w:r>
      <w:r w:rsidRPr="009F1886">
        <w:rPr>
          <w:rFonts w:eastAsia="Times New Roman" w:cs="Times New Roman"/>
          <w:b/>
          <w:bCs/>
          <w:sz w:val="24"/>
          <w:szCs w:val="24"/>
          <w:lang w:eastAsia="it-IT"/>
        </w:rPr>
        <w:t xml:space="preserve">solo </w:t>
      </w:r>
      <w:r w:rsidRPr="009F1886">
        <w:rPr>
          <w:rFonts w:eastAsia="Times New Roman" w:cs="Times New Roman"/>
          <w:sz w:val="24"/>
          <w:szCs w:val="24"/>
          <w:lang w:eastAsia="it-IT"/>
        </w:rPr>
        <w:t xml:space="preserve">dei manager/funzionari che le dirigono, ciascuno dei quali dovrà ricevere una designazione personale </w:t>
      </w:r>
      <w:r w:rsidRPr="009F1886">
        <w:rPr>
          <w:rFonts w:eastAsia="Times New Roman" w:cs="Times New Roman"/>
          <w:b/>
          <w:bCs/>
          <w:sz w:val="24"/>
          <w:szCs w:val="24"/>
          <w:lang w:eastAsia="it-IT"/>
        </w:rPr>
        <w:t>scritta</w:t>
      </w:r>
      <w:r w:rsidRPr="009F1886">
        <w:rPr>
          <w:rFonts w:eastAsia="Times New Roman" w:cs="Times New Roman"/>
          <w:sz w:val="24"/>
          <w:szCs w:val="24"/>
          <w:lang w:eastAsia="it-IT"/>
        </w:rPr>
        <w:t xml:space="preserve"> che riporti i contenuti principali dei compiti loro attribuiti.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Costoro, nell’ambito della loro sfera di responsabilità, devono poi aver cura di predisporre, aggiornare e conservare dei </w:t>
      </w:r>
      <w:proofErr w:type="spellStart"/>
      <w:r w:rsidRPr="009F1886">
        <w:rPr>
          <w:rFonts w:eastAsia="Times New Roman" w:cs="Times New Roman"/>
          <w:b/>
          <w:bCs/>
          <w:sz w:val="24"/>
          <w:szCs w:val="24"/>
          <w:lang w:eastAsia="it-IT"/>
        </w:rPr>
        <w:t>funzionigramma</w:t>
      </w:r>
      <w:proofErr w:type="spellEnd"/>
      <w:r w:rsidRPr="009F1886">
        <w:rPr>
          <w:rFonts w:eastAsia="Times New Roman" w:cs="Times New Roman"/>
          <w:b/>
          <w:bCs/>
          <w:sz w:val="24"/>
          <w:szCs w:val="24"/>
          <w:lang w:eastAsia="it-IT"/>
        </w:rPr>
        <w:t xml:space="preserve"> privacy</w:t>
      </w:r>
      <w:r w:rsidRPr="009F1886">
        <w:rPr>
          <w:rFonts w:eastAsia="Times New Roman" w:cs="Times New Roman"/>
          <w:sz w:val="24"/>
          <w:szCs w:val="24"/>
          <w:lang w:eastAsia="it-IT"/>
        </w:rPr>
        <w:t xml:space="preserve">, i.e. dei documenti che indichino con precisione ruoli e responsabilità di tutte le entità cioè di tutte le persone fisiche che compongono le varie unità organizzative sottoposte al loro potere di direzione. Possono essere annessi al </w:t>
      </w:r>
      <w:proofErr w:type="spellStart"/>
      <w:r w:rsidRPr="009F1886">
        <w:rPr>
          <w:rFonts w:eastAsia="Times New Roman" w:cs="Times New Roman"/>
          <w:sz w:val="24"/>
          <w:szCs w:val="24"/>
          <w:lang w:eastAsia="it-IT"/>
        </w:rPr>
        <w:t>funzionigramma</w:t>
      </w:r>
      <w:proofErr w:type="spellEnd"/>
      <w:r w:rsidRPr="009F1886">
        <w:rPr>
          <w:rFonts w:eastAsia="Times New Roman" w:cs="Times New Roman"/>
          <w:sz w:val="24"/>
          <w:szCs w:val="24"/>
          <w:lang w:eastAsia="it-IT"/>
        </w:rPr>
        <w:t xml:space="preserve"> tutti gli atti di designazioni di incaricati/autorizzati da parte dell’esercente le funzioni di titolare e tutti i documenti relativi alla formazione degli stessi incaricati.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Si realizza così la c.d. </w:t>
      </w:r>
      <w:r w:rsidRPr="009F1886">
        <w:rPr>
          <w:rFonts w:eastAsia="Times New Roman" w:cs="Times New Roman"/>
          <w:b/>
          <w:bCs/>
          <w:sz w:val="24"/>
          <w:szCs w:val="24"/>
          <w:lang w:eastAsia="it-IT"/>
        </w:rPr>
        <w:t>cascata dei compiti</w:t>
      </w:r>
      <w:r w:rsidRPr="009F1886">
        <w:rPr>
          <w:rFonts w:eastAsia="Times New Roman" w:cs="Times New Roman"/>
          <w:sz w:val="24"/>
          <w:szCs w:val="24"/>
          <w:lang w:eastAsia="it-IT"/>
        </w:rPr>
        <w:t xml:space="preserve"> (</w:t>
      </w:r>
      <w:proofErr w:type="spellStart"/>
      <w:r w:rsidRPr="009F1886">
        <w:rPr>
          <w:rFonts w:eastAsia="Times New Roman" w:cs="Times New Roman"/>
          <w:i/>
          <w:iCs/>
          <w:sz w:val="24"/>
          <w:szCs w:val="24"/>
          <w:lang w:eastAsia="it-IT"/>
        </w:rPr>
        <w:t>waterfall</w:t>
      </w:r>
      <w:proofErr w:type="spellEnd"/>
      <w:r w:rsidRPr="009F1886">
        <w:rPr>
          <w:rFonts w:eastAsia="Times New Roman" w:cs="Times New Roman"/>
          <w:i/>
          <w:iCs/>
          <w:sz w:val="24"/>
          <w:szCs w:val="24"/>
          <w:lang w:eastAsia="it-IT"/>
        </w:rPr>
        <w:t xml:space="preserve"> model</w:t>
      </w:r>
      <w:r w:rsidRPr="009F1886">
        <w:rPr>
          <w:rFonts w:eastAsia="Times New Roman" w:cs="Times New Roman"/>
          <w:sz w:val="24"/>
          <w:szCs w:val="24"/>
          <w:lang w:eastAsia="it-IT"/>
        </w:rPr>
        <w:t>) che rende facilmente dimostrabile la corretta attuazione del modello organizzativo prescritto dal GDPR e nel contempo attualizza il principio secondo il quale qualunque attività si svolga all’interno dell’organizzazione deve essere ricondotta alla sfera di responsabilità di una entità, cioè di una ben individuata persona fisica.</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lastRenderedPageBreak/>
        <w:t>Continuando, all’interno del Privacy Dashboard</w:t>
      </w:r>
      <w:r w:rsidRPr="009F1886">
        <w:rPr>
          <w:rFonts w:eastAsia="Times New Roman" w:cs="Times New Roman"/>
          <w:i/>
          <w:iCs/>
          <w:sz w:val="24"/>
          <w:szCs w:val="24"/>
          <w:lang w:eastAsia="it-IT"/>
        </w:rPr>
        <w:t>,</w:t>
      </w:r>
      <w:r w:rsidRPr="009F1886">
        <w:rPr>
          <w:rFonts w:eastAsia="Times New Roman" w:cs="Times New Roman"/>
          <w:sz w:val="24"/>
          <w:szCs w:val="24"/>
          <w:lang w:eastAsia="it-IT"/>
        </w:rPr>
        <w:t xml:space="preserve"> dopo l’organigramma va annotata tutta la documentazione necessaria a garantire un effettivo presidio dei dati che girano nei processi aziendali (quindi, documenti riguardanti la formazione, informative, moduli per l’esercizio dei diritti, piani, registro dei trattamenti, specifiche procedure ecc.).</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Una precisazione importantissima: in corrispondenza di ogni documento annotato nel Privacy Dashboard va indicato il manager/funzionario, competente/responsabile a gestire l’attività documentata.</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Esaminiamo ora di seguito in modo analitico la documentazione annotata sul Privacy Dashboard che deve essere coltivata da ciascun responsabile di funzione aziendale/area organizzativa omogenea.</w:t>
      </w:r>
    </w:p>
    <w:p w:rsidR="00C301E0" w:rsidRDefault="00C301E0"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Documenti riguardanti la formazione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Prima e più importante misura organizzativa è la formazione che crea consapevolezza e sensibilità diffuse e garantisce la tenuta del sistema. È specificamente prescritta sia dall’art. 29 che dall’art. 32 par. 4 del GDPR che, non a caso tratta la sicurezza del trattamento. Senza un’adeguata formazione del personale operante, qualsiasi misura tecnica od organizzativa è destinata a non avere efficacia.</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La formazione è fondamentale nel senso letterale del termine: le attività di formazione sono le fondamenta del sistema di data </w:t>
      </w:r>
      <w:proofErr w:type="spellStart"/>
      <w:r w:rsidRPr="009F1886">
        <w:rPr>
          <w:rFonts w:eastAsia="Times New Roman" w:cs="Times New Roman"/>
          <w:sz w:val="24"/>
          <w:szCs w:val="24"/>
          <w:lang w:eastAsia="it-IT"/>
        </w:rPr>
        <w:t>protection</w:t>
      </w:r>
      <w:proofErr w:type="spellEnd"/>
      <w:r w:rsidRPr="009F1886">
        <w:rPr>
          <w:rFonts w:eastAsia="Times New Roman" w:cs="Times New Roman"/>
          <w:sz w:val="24"/>
          <w:szCs w:val="24"/>
          <w:lang w:eastAsia="it-IT"/>
        </w:rPr>
        <w:t>.</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Nel “Privacy Dashboard” dovrà essere indicata la persona fisica responsabile della formazione. Il DPO chiederà la massima attenzione e la massima cura per la formazione che deve essere fatta seriamente, deve cioè essere misurata e misurabile. Quindi al termine degli interventi formativi devono essere eseguiti dei test per verificare se e quanto il messaggio formativo è stato recepito.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Tutta la documentazione prodotta deve essere conservata dal citato responsabile della formazione.</w:t>
      </w:r>
    </w:p>
    <w:p w:rsidR="00C301E0" w:rsidRPr="009F1886" w:rsidRDefault="00C301E0" w:rsidP="000205CA">
      <w:pPr>
        <w:pBdr>
          <w:bottom w:val="single" w:sz="6" w:space="12" w:color="E0E0E0"/>
        </w:pBdr>
        <w:spacing w:after="0" w:line="240" w:lineRule="auto"/>
        <w:jc w:val="both"/>
        <w:outlineLvl w:val="1"/>
        <w:rPr>
          <w:rFonts w:eastAsia="Times New Roman" w:cs="Times New Roman"/>
          <w:b/>
          <w:bCs/>
          <w:sz w:val="24"/>
          <w:szCs w:val="24"/>
          <w:lang w:eastAsia="it-IT"/>
        </w:rPr>
      </w:pPr>
    </w:p>
    <w:p w:rsidR="000205CA" w:rsidRPr="000205CA" w:rsidRDefault="000205CA" w:rsidP="000205CA">
      <w:pPr>
        <w:pBdr>
          <w:bottom w:val="single" w:sz="6" w:space="12" w:color="E0E0E0"/>
        </w:pBdr>
        <w:spacing w:after="0" w:line="240" w:lineRule="auto"/>
        <w:jc w:val="both"/>
        <w:outlineLvl w:val="1"/>
        <w:rPr>
          <w:rFonts w:eastAsia="Times New Roman" w:cs="Times New Roman"/>
          <w:b/>
          <w:bCs/>
          <w:color w:val="626296"/>
          <w:sz w:val="24"/>
          <w:szCs w:val="24"/>
          <w:lang w:eastAsia="it-IT"/>
        </w:rPr>
      </w:pPr>
      <w:r w:rsidRPr="000205CA">
        <w:rPr>
          <w:rFonts w:eastAsia="Times New Roman" w:cs="Times New Roman"/>
          <w:b/>
          <w:bCs/>
          <w:color w:val="626296"/>
          <w:sz w:val="24"/>
          <w:szCs w:val="24"/>
          <w:lang w:eastAsia="it-IT"/>
        </w:rPr>
        <w:t>Documenti obbligatori</w:t>
      </w:r>
    </w:p>
    <w:p w:rsidR="00C301E0" w:rsidRDefault="00C301E0"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Informative e basi giuridiche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Ogni trattamento di dati personali deve essere preceduto da una serie di informazioni che devono essere rese all’interessato per realizzare il principio di correttezza e trasparenza.</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Per tale motivo, ogni responsabile di processo aziendale/procedimento amministrativo (c.d. </w:t>
      </w:r>
      <w:proofErr w:type="spellStart"/>
      <w:r w:rsidRPr="009F1886">
        <w:rPr>
          <w:rFonts w:eastAsia="Times New Roman" w:cs="Times New Roman"/>
          <w:b/>
          <w:bCs/>
          <w:sz w:val="24"/>
          <w:szCs w:val="24"/>
          <w:lang w:eastAsia="it-IT"/>
        </w:rPr>
        <w:t>process</w:t>
      </w:r>
      <w:proofErr w:type="spellEnd"/>
      <w:r w:rsidRPr="009F1886">
        <w:rPr>
          <w:rFonts w:eastAsia="Times New Roman" w:cs="Times New Roman"/>
          <w:b/>
          <w:bCs/>
          <w:sz w:val="24"/>
          <w:szCs w:val="24"/>
          <w:lang w:eastAsia="it-IT"/>
        </w:rPr>
        <w:t xml:space="preserve"> </w:t>
      </w:r>
      <w:proofErr w:type="spellStart"/>
      <w:r w:rsidRPr="009F1886">
        <w:rPr>
          <w:rFonts w:eastAsia="Times New Roman" w:cs="Times New Roman"/>
          <w:b/>
          <w:bCs/>
          <w:sz w:val="24"/>
          <w:szCs w:val="24"/>
          <w:lang w:eastAsia="it-IT"/>
        </w:rPr>
        <w:t>owner</w:t>
      </w:r>
      <w:proofErr w:type="spellEnd"/>
      <w:r w:rsidRPr="009F1886">
        <w:rPr>
          <w:rFonts w:eastAsia="Times New Roman" w:cs="Times New Roman"/>
          <w:sz w:val="24"/>
          <w:szCs w:val="24"/>
          <w:lang w:eastAsia="it-IT"/>
        </w:rPr>
        <w:t>) ha l’onere di predisporre specifiche informative, attagliandole alle concrete attività di trattamento, avendo cura di inserire i contenuti minimi prescritti dagli artt. 13 e 14 GDPR. L’informativa deve contenere la descrizione del “ciclo di vita” dei dati e quindi anche gli eventuali destinatari o le eventuali categorie di destinatari, l’intenzione del titolare di trasferire i dati raccolti a un paese terzo o a un’organizzazione internazionale e l’esistenza o l’assenza di una decisione di adeguatezza della Commissione. In mancanza di una decisione di adeguatezza, vanno sempre specificate le garanzie appropriate o opportune e i mezzi per ottenere una copia di tali garanzie o il luogo dove sono state rese disponibili. È fondamentale anche specificare sempre il periodo di conservazione dei dati oppure, se non è possibile, i criteri utilizzati per determinare tale periodo.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Nell’informativa vanno anche indicate le basi giuridiche che giustificano il trattamento. In particolare, se il trattamento si basa sul consenso o sul legittimo interesse è obbligatorio predisporre una ulteriore specifica documentazione.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lastRenderedPageBreak/>
        <w:t>Infatti, l’art.7, par.1 GDPR prescrive che qualora il trattamento sia basato sul consenso, il titolare del trattamento deve essere in grado di dimostrare che l’interessato ha prestato il proprio consenso al trattamento dei propri dati personali.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Quindi il </w:t>
      </w:r>
      <w:proofErr w:type="spellStart"/>
      <w:r w:rsidRPr="009F1886">
        <w:rPr>
          <w:rFonts w:eastAsia="Times New Roman" w:cs="Times New Roman"/>
          <w:sz w:val="24"/>
          <w:szCs w:val="24"/>
          <w:lang w:eastAsia="it-IT"/>
        </w:rPr>
        <w:t>process</w:t>
      </w:r>
      <w:proofErr w:type="spellEnd"/>
      <w:r w:rsidRPr="009F1886">
        <w:rPr>
          <w:rFonts w:eastAsia="Times New Roman" w:cs="Times New Roman"/>
          <w:sz w:val="24"/>
          <w:szCs w:val="24"/>
          <w:lang w:eastAsia="it-IT"/>
        </w:rPr>
        <w:t xml:space="preserve"> </w:t>
      </w:r>
      <w:proofErr w:type="spellStart"/>
      <w:r w:rsidRPr="009F1886">
        <w:rPr>
          <w:rFonts w:eastAsia="Times New Roman" w:cs="Times New Roman"/>
          <w:sz w:val="24"/>
          <w:szCs w:val="24"/>
          <w:lang w:eastAsia="it-IT"/>
        </w:rPr>
        <w:t>owner</w:t>
      </w:r>
      <w:proofErr w:type="spellEnd"/>
      <w:r w:rsidRPr="009F1886">
        <w:rPr>
          <w:rFonts w:eastAsia="Times New Roman" w:cs="Times New Roman"/>
          <w:sz w:val="24"/>
          <w:szCs w:val="24"/>
          <w:lang w:eastAsia="it-IT"/>
        </w:rPr>
        <w:t xml:space="preserve"> dovrà disegnare una procedura per raccogliere il consenso e conservare in modo sicuro i relativi </w:t>
      </w:r>
      <w:proofErr w:type="spellStart"/>
      <w:r w:rsidRPr="009F1886">
        <w:rPr>
          <w:rFonts w:eastAsia="Times New Roman" w:cs="Times New Roman"/>
          <w:sz w:val="24"/>
          <w:szCs w:val="24"/>
          <w:lang w:eastAsia="it-IT"/>
        </w:rPr>
        <w:t>records</w:t>
      </w:r>
      <w:proofErr w:type="spellEnd"/>
      <w:r w:rsidRPr="009F1886">
        <w:rPr>
          <w:rFonts w:eastAsia="Times New Roman" w:cs="Times New Roman"/>
          <w:sz w:val="24"/>
          <w:szCs w:val="24"/>
          <w:lang w:eastAsia="it-IT"/>
        </w:rPr>
        <w:t>.</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Per basare il trattamento sul legittimo interesse, invece, lo stesso </w:t>
      </w:r>
      <w:proofErr w:type="spellStart"/>
      <w:r w:rsidRPr="009F1886">
        <w:rPr>
          <w:rFonts w:eastAsia="Times New Roman" w:cs="Times New Roman"/>
          <w:sz w:val="24"/>
          <w:szCs w:val="24"/>
          <w:lang w:eastAsia="it-IT"/>
        </w:rPr>
        <w:t>process</w:t>
      </w:r>
      <w:proofErr w:type="spellEnd"/>
      <w:r w:rsidRPr="009F1886">
        <w:rPr>
          <w:rFonts w:eastAsia="Times New Roman" w:cs="Times New Roman"/>
          <w:sz w:val="24"/>
          <w:szCs w:val="24"/>
          <w:lang w:eastAsia="it-IT"/>
        </w:rPr>
        <w:t xml:space="preserve"> </w:t>
      </w:r>
      <w:proofErr w:type="spellStart"/>
      <w:r w:rsidRPr="009F1886">
        <w:rPr>
          <w:rFonts w:eastAsia="Times New Roman" w:cs="Times New Roman"/>
          <w:sz w:val="24"/>
          <w:szCs w:val="24"/>
          <w:lang w:eastAsia="it-IT"/>
        </w:rPr>
        <w:t>owner</w:t>
      </w:r>
      <w:proofErr w:type="spellEnd"/>
      <w:r w:rsidRPr="009F1886">
        <w:rPr>
          <w:rFonts w:eastAsia="Times New Roman" w:cs="Times New Roman"/>
          <w:sz w:val="24"/>
          <w:szCs w:val="24"/>
          <w:lang w:eastAsia="it-IT"/>
        </w:rPr>
        <w:t xml:space="preserve"> farà bene a predisporre una specifica procedura per effettuare il c.d. “</w:t>
      </w:r>
      <w:proofErr w:type="spellStart"/>
      <w:r w:rsidRPr="009F1886">
        <w:rPr>
          <w:rFonts w:eastAsia="Times New Roman" w:cs="Times New Roman"/>
          <w:sz w:val="24"/>
          <w:szCs w:val="24"/>
          <w:lang w:eastAsia="it-IT"/>
        </w:rPr>
        <w:t>balacing</w:t>
      </w:r>
      <w:proofErr w:type="spellEnd"/>
      <w:r w:rsidRPr="009F1886">
        <w:rPr>
          <w:rFonts w:eastAsia="Times New Roman" w:cs="Times New Roman"/>
          <w:sz w:val="24"/>
          <w:szCs w:val="24"/>
          <w:lang w:eastAsia="it-IT"/>
        </w:rPr>
        <w:t xml:space="preserve"> test” ovvero un test comparativo tra il legittimo interesse del titolare e gli interessi o i diritti e le libertà fondamentali degli interessati. Molto utile al riguardo risulta essere la guida posta in </w:t>
      </w:r>
      <w:r w:rsidRPr="009F1886">
        <w:rPr>
          <w:rFonts w:eastAsia="Times New Roman" w:cs="Times New Roman"/>
          <w:b/>
          <w:bCs/>
          <w:sz w:val="24"/>
          <w:szCs w:val="24"/>
          <w:lang w:eastAsia="it-IT"/>
        </w:rPr>
        <w:t>Allegato 1 al WP 217 – Parere 6/2014 del WP29</w:t>
      </w:r>
      <w:r w:rsidRPr="009F1886">
        <w:rPr>
          <w:rFonts w:eastAsia="Times New Roman" w:cs="Times New Roman"/>
          <w:sz w:val="24"/>
          <w:szCs w:val="24"/>
          <w:lang w:eastAsia="it-IT"/>
        </w:rPr>
        <w:t xml:space="preserve"> alla cui lettura si rinvia.</w:t>
      </w:r>
    </w:p>
    <w:p w:rsidR="00C301E0" w:rsidRDefault="00C301E0" w:rsidP="000205CA">
      <w:pPr>
        <w:pBdr>
          <w:bottom w:val="single" w:sz="6" w:space="12" w:color="E0E0E0"/>
        </w:pBdr>
        <w:spacing w:after="0" w:line="240" w:lineRule="auto"/>
        <w:outlineLvl w:val="2"/>
        <w:rPr>
          <w:rFonts w:eastAsia="Times New Roman" w:cs="Times New Roman"/>
          <w:b/>
          <w:bCs/>
          <w:color w:val="424242"/>
          <w:sz w:val="24"/>
          <w:szCs w:val="24"/>
          <w:lang w:eastAsia="it-IT"/>
        </w:rPr>
      </w:pPr>
    </w:p>
    <w:p w:rsidR="000205CA" w:rsidRPr="000205CA" w:rsidRDefault="000205CA" w:rsidP="000205CA">
      <w:pPr>
        <w:pBdr>
          <w:bottom w:val="single" w:sz="6" w:space="12" w:color="E0E0E0"/>
        </w:pBdr>
        <w:spacing w:after="0" w:line="240" w:lineRule="auto"/>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Procedura e modulistica per l’esercizio dei diritti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Il titolare del trattamento deve agevolare l’esercizio dei diritti degli interessati in materia di protezione dei dati personali e realizzare specifici adempimenti procedurali con i vincoli temporali fissati dall’art. 12 GDPR.</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È pertanto necessario definire una procedura specifica, predisponendo contestualmente:</w:t>
      </w:r>
    </w:p>
    <w:p w:rsidR="000205CA" w:rsidRPr="009F1886" w:rsidRDefault="000205CA" w:rsidP="000205CA">
      <w:pPr>
        <w:numPr>
          <w:ilvl w:val="0"/>
          <w:numId w:val="1"/>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designazioni/autorizzazioni scritte individuali per ogni entità chiamata ad applicare la procedura individuata;</w:t>
      </w:r>
    </w:p>
    <w:p w:rsidR="000205CA" w:rsidRPr="009F1886" w:rsidRDefault="000205CA" w:rsidP="000205CA">
      <w:pPr>
        <w:numPr>
          <w:ilvl w:val="0"/>
          <w:numId w:val="1"/>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apposita modulistica.</w:t>
      </w:r>
    </w:p>
    <w:p w:rsidR="00C301E0" w:rsidRDefault="00C301E0"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Documentazione relativa ai responsabili del trattamento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L’art. 28 GDPR prescrive che:</w:t>
      </w:r>
    </w:p>
    <w:p w:rsidR="000205CA" w:rsidRPr="009F1886" w:rsidRDefault="000205CA" w:rsidP="000205CA">
      <w:pPr>
        <w:numPr>
          <w:ilvl w:val="0"/>
          <w:numId w:val="2"/>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i trattamenti da parte di un responsabile del trattamento debbano essere disciplinati da un contratto o da altro atto giuridico che vincoli il responsabile stesso al titolare;</w:t>
      </w:r>
    </w:p>
    <w:p w:rsidR="000205CA" w:rsidRPr="009F1886" w:rsidRDefault="000205CA" w:rsidP="000205CA">
      <w:pPr>
        <w:numPr>
          <w:ilvl w:val="0"/>
          <w:numId w:val="2"/>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 xml:space="preserve">il responsabile del trattamento metta a disposizione del titolare tutte le informazioni necessarie a garantire la </w:t>
      </w:r>
      <w:proofErr w:type="spellStart"/>
      <w:r w:rsidRPr="009F1886">
        <w:rPr>
          <w:rFonts w:eastAsia="Times New Roman" w:cs="Times New Roman"/>
          <w:sz w:val="24"/>
          <w:szCs w:val="24"/>
          <w:lang w:eastAsia="it-IT"/>
        </w:rPr>
        <w:t>compliance</w:t>
      </w:r>
      <w:proofErr w:type="spellEnd"/>
      <w:r w:rsidRPr="009F1886">
        <w:rPr>
          <w:rFonts w:eastAsia="Times New Roman" w:cs="Times New Roman"/>
          <w:sz w:val="24"/>
          <w:szCs w:val="24"/>
          <w:lang w:eastAsia="it-IT"/>
        </w:rPr>
        <w:t xml:space="preserve"> al GDPR e consenta allo stesso titolare di eseguire audit per verificare la corretta esecuzione delle istruzioni.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Pertanto in attuazione di tali disposizioni, la persona esercente le funzioni di titolare deve predisporre e conservare il contratto e tutti i documenti redatti nel corso del rapporto contrattuale con il responsabile.</w:t>
      </w:r>
    </w:p>
    <w:p w:rsidR="00C301E0" w:rsidRDefault="00C301E0"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Registro dei trattamenti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Il registro, prescritto dall’art. 30 GDPR, è un documento obbligatorio per i titolari e per i responsabili e uno dei più importanti strumenti di </w:t>
      </w:r>
      <w:proofErr w:type="spellStart"/>
      <w:r w:rsidRPr="009F1886">
        <w:rPr>
          <w:rFonts w:eastAsia="Times New Roman" w:cs="Times New Roman"/>
          <w:sz w:val="24"/>
          <w:szCs w:val="24"/>
          <w:lang w:eastAsia="it-IT"/>
        </w:rPr>
        <w:t>accountability</w:t>
      </w:r>
      <w:proofErr w:type="spellEnd"/>
      <w:r w:rsidRPr="009F1886">
        <w:rPr>
          <w:rFonts w:eastAsia="Times New Roman" w:cs="Times New Roman"/>
          <w:sz w:val="24"/>
          <w:szCs w:val="24"/>
          <w:lang w:eastAsia="it-IT"/>
        </w:rPr>
        <w:t xml:space="preserve">, una preziosa risorsa di informazione per il Garante in fase di controllo. Peraltro, qualora il titolare non si doti di strumenti generali di </w:t>
      </w:r>
      <w:proofErr w:type="spellStart"/>
      <w:r w:rsidRPr="009F1886">
        <w:rPr>
          <w:rFonts w:eastAsia="Times New Roman" w:cs="Times New Roman"/>
          <w:sz w:val="24"/>
          <w:szCs w:val="24"/>
          <w:lang w:eastAsia="it-IT"/>
        </w:rPr>
        <w:t>governance</w:t>
      </w:r>
      <w:proofErr w:type="spellEnd"/>
      <w:r w:rsidRPr="009F1886">
        <w:rPr>
          <w:rFonts w:eastAsia="Times New Roman" w:cs="Times New Roman"/>
          <w:sz w:val="24"/>
          <w:szCs w:val="24"/>
          <w:lang w:eastAsia="it-IT"/>
        </w:rPr>
        <w:t xml:space="preserve"> del sistema, come il citato Privacy Dashboard, rimane un imprescindibile strumento di monitoraggio del titolare/responsabile.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Il registro deve riportare il censimento di tutti i trattamenti eseguiti. Può capitare che il responsabile non lo adotti quindi per sicurezza il titolare deve sempre pretendere che il responsabile gli trasmetta una copia.</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La predisposizione e la gestione del registro è un compito attribuito all’esercente le funzioni di titolare il quale può anche delegare questa incombenza ad un manager/funzionario dell’organizzazione, avendo però la consapevolezza che la responsabilità rimane sempre ancorata alla sua sfera di competenze.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lastRenderedPageBreak/>
        <w:t>Il registro deve consentire di identificare i soggetti coinvolti nel trattamento dei dati, finalità, le categorie di interessati e dei dati trattati, chi accede agli stessi, a chi vengono comunicati, per quanto tempo sono conservati e quanto sono sicuri.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Seppure non previsti come obbligatori dal GDPR è opportuno inserire altri </w:t>
      </w:r>
      <w:proofErr w:type="spellStart"/>
      <w:r w:rsidRPr="009F1886">
        <w:rPr>
          <w:rFonts w:eastAsia="Times New Roman" w:cs="Times New Roman"/>
          <w:sz w:val="24"/>
          <w:szCs w:val="24"/>
          <w:lang w:eastAsia="it-IT"/>
        </w:rPr>
        <w:t>items</w:t>
      </w:r>
      <w:proofErr w:type="spellEnd"/>
      <w:r w:rsidRPr="009F1886">
        <w:rPr>
          <w:rFonts w:eastAsia="Times New Roman" w:cs="Times New Roman"/>
          <w:sz w:val="24"/>
          <w:szCs w:val="24"/>
          <w:lang w:eastAsia="it-IT"/>
        </w:rPr>
        <w:t xml:space="preserve"> che per ogni trattamento indichino le informative, le basi giuridiche ed il livello di rischio per i diritti e le libertà fondamentali degli interessati. Si ha così modo di evidenziare i trattamenti “a rischio elevato” sui quali andrà effettuata la </w:t>
      </w:r>
      <w:hyperlink r:id="rId7" w:history="1">
        <w:r w:rsidRPr="009F1886">
          <w:rPr>
            <w:rFonts w:eastAsia="Times New Roman" w:cs="Times New Roman"/>
            <w:b/>
            <w:bCs/>
            <w:sz w:val="24"/>
            <w:szCs w:val="24"/>
            <w:lang w:eastAsia="it-IT"/>
          </w:rPr>
          <w:t>valutazione di impatto (c.d. DPIA)</w:t>
        </w:r>
      </w:hyperlink>
      <w:r w:rsidRPr="009F1886">
        <w:rPr>
          <w:rFonts w:eastAsia="Times New Roman" w:cs="Times New Roman"/>
          <w:sz w:val="24"/>
          <w:szCs w:val="24"/>
          <w:lang w:eastAsia="it-IT"/>
        </w:rPr>
        <w:t>.</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Va precisato che il registro non va inteso come una mera incombenza burocratica ma come un vero e proprio strumento operativo, analogo – per dare un’idea – ai registri obbligatori di magazzino delle medie e grandi aziende. Si comprende così anche il motivo per il quale il registro è funzionale all’esecuzione di audit interni e ad ispezioni da parte dell’Autorità di controllo.</w:t>
      </w:r>
    </w:p>
    <w:p w:rsidR="00C301E0" w:rsidRDefault="00C301E0" w:rsidP="000205CA">
      <w:pPr>
        <w:pBdr>
          <w:bottom w:val="single" w:sz="6" w:space="12" w:color="E0E0E0"/>
        </w:pBdr>
        <w:spacing w:after="0" w:line="240" w:lineRule="auto"/>
        <w:outlineLvl w:val="2"/>
        <w:rPr>
          <w:rFonts w:eastAsia="Times New Roman" w:cs="Times New Roman"/>
          <w:b/>
          <w:bCs/>
          <w:color w:val="424242"/>
          <w:sz w:val="24"/>
          <w:szCs w:val="24"/>
          <w:lang w:eastAsia="it-IT"/>
        </w:rPr>
      </w:pPr>
    </w:p>
    <w:p w:rsidR="000205CA" w:rsidRPr="000205CA" w:rsidRDefault="000205CA" w:rsidP="000205CA">
      <w:pPr>
        <w:pBdr>
          <w:bottom w:val="single" w:sz="6" w:space="12" w:color="E0E0E0"/>
        </w:pBdr>
        <w:spacing w:after="0" w:line="240" w:lineRule="auto"/>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Documentazione riguardante le misure di sicurezza</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Le misure che garantiscono la sicurezza dei dati all’interno dell’organizzazione si dividono in due categorie: misure organizzative e misure tecniche. Queste ultime vanno individuate tenendo conto dello stato dell’arte e dei costi di attuazione, nonché della natura, dell’oggetto, del contesto e delle finalità del trattamento e considerando che l’art. 32 GDPR raccomanda, come misure tecniche minime la </w:t>
      </w:r>
      <w:proofErr w:type="spellStart"/>
      <w:r w:rsidRPr="009F1886">
        <w:rPr>
          <w:rFonts w:eastAsia="Times New Roman" w:cs="Times New Roman"/>
          <w:sz w:val="24"/>
          <w:szCs w:val="24"/>
          <w:lang w:eastAsia="it-IT"/>
        </w:rPr>
        <w:t>pseudonimizzazione</w:t>
      </w:r>
      <w:proofErr w:type="spellEnd"/>
      <w:r w:rsidRPr="009F1886">
        <w:rPr>
          <w:rFonts w:eastAsia="Times New Roman" w:cs="Times New Roman"/>
          <w:sz w:val="24"/>
          <w:szCs w:val="24"/>
          <w:lang w:eastAsia="it-IT"/>
        </w:rPr>
        <w:t xml:space="preserve"> e la cifratura dei dati.</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Le preoccupazioni di dimostrabilità, in quest’area, concernono soprattutto le misure organizzative sia fisiche che logiche, volte ad assicurare su base permanente la riservatezza, l’integrità, la disponibilità e la resilienza dei sistemi e dei servizi di trattamento nonché a ripristinare tempestivamente la disponibilità e l’accesso dei dati personali in caso di incidente fisico o tecnico.</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Per realizzare queste finalità </w:t>
      </w:r>
      <w:r w:rsidRPr="009F1886">
        <w:rPr>
          <w:rFonts w:eastAsia="Times New Roman" w:cs="Times New Roman"/>
          <w:i/>
          <w:iCs/>
          <w:sz w:val="24"/>
          <w:szCs w:val="24"/>
          <w:lang w:eastAsia="it-IT"/>
        </w:rPr>
        <w:t>il responsabile della funzione IT</w:t>
      </w:r>
      <w:r w:rsidRPr="009F1886">
        <w:rPr>
          <w:rFonts w:eastAsia="Times New Roman" w:cs="Times New Roman"/>
          <w:sz w:val="24"/>
          <w:szCs w:val="24"/>
          <w:lang w:eastAsia="it-IT"/>
        </w:rPr>
        <w:t xml:space="preserve"> deve predisporre una </w:t>
      </w:r>
      <w:r w:rsidRPr="009F1886">
        <w:rPr>
          <w:rFonts w:eastAsia="Times New Roman" w:cs="Times New Roman"/>
          <w:b/>
          <w:bCs/>
          <w:sz w:val="24"/>
          <w:szCs w:val="24"/>
          <w:lang w:eastAsia="it-IT"/>
        </w:rPr>
        <w:t>politica di sicurezza informatica</w:t>
      </w:r>
      <w:r w:rsidRPr="009F1886">
        <w:rPr>
          <w:rFonts w:eastAsia="Times New Roman" w:cs="Times New Roman"/>
          <w:sz w:val="24"/>
          <w:szCs w:val="24"/>
          <w:lang w:eastAsia="it-IT"/>
        </w:rPr>
        <w:t xml:space="preserve"> cioè l’insieme organico delle regole formali che definiscono le modalità di gestione degli strumenti informatici e dei dati dell’azienda o dell’ente in esame. Componenti della politica sono:</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l’autenticazione;</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l’integrità dei dati interna ed esterna;</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il backup dei dati;</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 xml:space="preserve">la sicurezza degli </w:t>
      </w:r>
      <w:proofErr w:type="spellStart"/>
      <w:r w:rsidRPr="009F1886">
        <w:rPr>
          <w:rFonts w:eastAsia="Times New Roman" w:cs="Times New Roman"/>
          <w:sz w:val="24"/>
          <w:szCs w:val="24"/>
          <w:lang w:eastAsia="it-IT"/>
        </w:rPr>
        <w:t>host</w:t>
      </w:r>
      <w:proofErr w:type="spellEnd"/>
      <w:r w:rsidRPr="009F1886">
        <w:rPr>
          <w:rFonts w:eastAsia="Times New Roman" w:cs="Times New Roman"/>
          <w:sz w:val="24"/>
          <w:szCs w:val="24"/>
          <w:lang w:eastAsia="it-IT"/>
        </w:rPr>
        <w:t>;</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la sicurezza del network;</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la sicurezza fisica;</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la sicurezza delle operazioni;</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la gestione delle configurazioni (profilo di sicurezza minimo, c.d. “</w:t>
      </w:r>
      <w:proofErr w:type="spellStart"/>
      <w:r w:rsidRPr="009F1886">
        <w:rPr>
          <w:rFonts w:eastAsia="Times New Roman" w:cs="Times New Roman"/>
          <w:sz w:val="24"/>
          <w:szCs w:val="24"/>
          <w:lang w:eastAsia="it-IT"/>
        </w:rPr>
        <w:t>golden</w:t>
      </w:r>
      <w:proofErr w:type="spellEnd"/>
      <w:r w:rsidRPr="009F1886">
        <w:rPr>
          <w:rFonts w:eastAsia="Times New Roman" w:cs="Times New Roman"/>
          <w:sz w:val="24"/>
          <w:szCs w:val="24"/>
          <w:lang w:eastAsia="it-IT"/>
        </w:rPr>
        <w:t xml:space="preserve"> image”);</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 xml:space="preserve">meccanismi di </w:t>
      </w:r>
      <w:proofErr w:type="spellStart"/>
      <w:r w:rsidRPr="009F1886">
        <w:rPr>
          <w:rFonts w:eastAsia="Times New Roman" w:cs="Times New Roman"/>
          <w:sz w:val="24"/>
          <w:szCs w:val="24"/>
          <w:lang w:eastAsia="it-IT"/>
        </w:rPr>
        <w:t>alert</w:t>
      </w:r>
      <w:proofErr w:type="spellEnd"/>
      <w:r w:rsidRPr="009F1886">
        <w:rPr>
          <w:rFonts w:eastAsia="Times New Roman" w:cs="Times New Roman"/>
          <w:sz w:val="24"/>
          <w:szCs w:val="24"/>
          <w:lang w:eastAsia="it-IT"/>
        </w:rPr>
        <w:t xml:space="preserve"> attivati sui sistemi (SIEM et </w:t>
      </w:r>
      <w:proofErr w:type="spellStart"/>
      <w:r w:rsidRPr="009F1886">
        <w:rPr>
          <w:rFonts w:eastAsia="Times New Roman" w:cs="Times New Roman"/>
          <w:sz w:val="24"/>
          <w:szCs w:val="24"/>
          <w:lang w:eastAsia="it-IT"/>
        </w:rPr>
        <w:t>similia</w:t>
      </w:r>
      <w:proofErr w:type="spellEnd"/>
      <w:r w:rsidRPr="009F1886">
        <w:rPr>
          <w:rFonts w:eastAsia="Times New Roman" w:cs="Times New Roman"/>
          <w:sz w:val="24"/>
          <w:szCs w:val="24"/>
          <w:lang w:eastAsia="it-IT"/>
        </w:rPr>
        <w:t>);</w:t>
      </w:r>
    </w:p>
    <w:p w:rsidR="000205CA" w:rsidRPr="009F1886" w:rsidRDefault="000205CA" w:rsidP="00C301E0">
      <w:pPr>
        <w:numPr>
          <w:ilvl w:val="0"/>
          <w:numId w:val="3"/>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le modalità operative di cambio della politica in caso di eventi esterni non previsti.</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Per applicare la politica di sicurezza sulle entità, ogni </w:t>
      </w:r>
      <w:proofErr w:type="spellStart"/>
      <w:r w:rsidRPr="009F1886">
        <w:rPr>
          <w:rFonts w:eastAsia="Times New Roman" w:cs="Times New Roman"/>
          <w:sz w:val="24"/>
          <w:szCs w:val="24"/>
          <w:lang w:eastAsia="it-IT"/>
        </w:rPr>
        <w:t>Process</w:t>
      </w:r>
      <w:proofErr w:type="spellEnd"/>
      <w:r w:rsidRPr="009F1886">
        <w:rPr>
          <w:rFonts w:eastAsia="Times New Roman" w:cs="Times New Roman"/>
          <w:sz w:val="24"/>
          <w:szCs w:val="24"/>
          <w:lang w:eastAsia="it-IT"/>
        </w:rPr>
        <w:t xml:space="preserve"> </w:t>
      </w:r>
      <w:proofErr w:type="spellStart"/>
      <w:r w:rsidRPr="009F1886">
        <w:rPr>
          <w:rFonts w:eastAsia="Times New Roman" w:cs="Times New Roman"/>
          <w:sz w:val="24"/>
          <w:szCs w:val="24"/>
          <w:lang w:eastAsia="it-IT"/>
        </w:rPr>
        <w:t>Owner</w:t>
      </w:r>
      <w:proofErr w:type="spellEnd"/>
      <w:r w:rsidRPr="009F1886">
        <w:rPr>
          <w:rFonts w:eastAsia="Times New Roman" w:cs="Times New Roman"/>
          <w:sz w:val="24"/>
          <w:szCs w:val="24"/>
          <w:lang w:eastAsia="it-IT"/>
        </w:rPr>
        <w:t xml:space="preserve">, sulla base di una specifica delega rilasciata dall’esercente le funzioni di titolare, sistematicamente annotata sul Privacy Dashboard, dovrà effettuare </w:t>
      </w:r>
      <w:r w:rsidRPr="009F1886">
        <w:rPr>
          <w:rFonts w:eastAsia="Times New Roman" w:cs="Times New Roman"/>
          <w:b/>
          <w:bCs/>
          <w:sz w:val="24"/>
          <w:szCs w:val="24"/>
          <w:lang w:eastAsia="it-IT"/>
        </w:rPr>
        <w:t>designazioni personali</w:t>
      </w:r>
      <w:r w:rsidRPr="009F1886">
        <w:rPr>
          <w:rFonts w:eastAsia="Times New Roman" w:cs="Times New Roman"/>
          <w:sz w:val="24"/>
          <w:szCs w:val="24"/>
          <w:lang w:eastAsia="it-IT"/>
        </w:rPr>
        <w:t>, in forma scritta.</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Tali designazioni, in linea con le indicazioni offerte dal § 12.1 della prassi di riferimento UNI </w:t>
      </w:r>
      <w:proofErr w:type="spellStart"/>
      <w:r w:rsidRPr="009F1886">
        <w:rPr>
          <w:rFonts w:eastAsia="Times New Roman" w:cs="Times New Roman"/>
          <w:sz w:val="24"/>
          <w:szCs w:val="24"/>
          <w:lang w:eastAsia="it-IT"/>
        </w:rPr>
        <w:t>PdR</w:t>
      </w:r>
      <w:proofErr w:type="spellEnd"/>
      <w:r w:rsidRPr="009F1886">
        <w:rPr>
          <w:rFonts w:eastAsia="Times New Roman" w:cs="Times New Roman"/>
          <w:sz w:val="24"/>
          <w:szCs w:val="24"/>
          <w:lang w:eastAsia="it-IT"/>
        </w:rPr>
        <w:t xml:space="preserve"> 43.1:2018, devono riprendere i contenuti principali dei singoli compiti attribuiti a ciascun collaboratore.</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Esse dovrebbero disciplinare tassativamente almeno le materie riportate al paragrafo 3 dell’art. 28 GDPR, ovvero che il designato/autorizzato sia in possesso e fornisca garanzie sufficienti su: natura, finalità, durata e modalità del trattamento.</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lastRenderedPageBreak/>
        <w:t xml:space="preserve">Il </w:t>
      </w:r>
      <w:proofErr w:type="spellStart"/>
      <w:r w:rsidRPr="009F1886">
        <w:rPr>
          <w:rFonts w:eastAsia="Times New Roman" w:cs="Times New Roman"/>
          <w:sz w:val="24"/>
          <w:szCs w:val="24"/>
          <w:lang w:eastAsia="it-IT"/>
        </w:rPr>
        <w:t>Process</w:t>
      </w:r>
      <w:proofErr w:type="spellEnd"/>
      <w:r w:rsidRPr="009F1886">
        <w:rPr>
          <w:rFonts w:eastAsia="Times New Roman" w:cs="Times New Roman"/>
          <w:sz w:val="24"/>
          <w:szCs w:val="24"/>
          <w:lang w:eastAsia="it-IT"/>
        </w:rPr>
        <w:t xml:space="preserve"> </w:t>
      </w:r>
      <w:proofErr w:type="spellStart"/>
      <w:r w:rsidRPr="009F1886">
        <w:rPr>
          <w:rFonts w:eastAsia="Times New Roman" w:cs="Times New Roman"/>
          <w:sz w:val="24"/>
          <w:szCs w:val="24"/>
          <w:lang w:eastAsia="it-IT"/>
        </w:rPr>
        <w:t>Owner</w:t>
      </w:r>
      <w:proofErr w:type="spellEnd"/>
      <w:r w:rsidRPr="009F1886">
        <w:rPr>
          <w:rFonts w:eastAsia="Times New Roman" w:cs="Times New Roman"/>
          <w:sz w:val="24"/>
          <w:szCs w:val="24"/>
          <w:lang w:eastAsia="it-IT"/>
        </w:rPr>
        <w:t xml:space="preserve"> dovrebbe somministrare e verificare gli atti di designazione all’inizio delle attività e periodicamente, almeno una volta l’anno, le designazioni sono oggetto di un processo di analisi ed eventuale revisione.</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Se nell’organizzazione è presente un </w:t>
      </w:r>
      <w:r w:rsidRPr="009F1886">
        <w:rPr>
          <w:rFonts w:eastAsia="Times New Roman" w:cs="Times New Roman"/>
          <w:b/>
          <w:bCs/>
          <w:sz w:val="24"/>
          <w:szCs w:val="24"/>
          <w:lang w:eastAsia="it-IT"/>
        </w:rPr>
        <w:t>amministratore di sistema</w:t>
      </w:r>
      <w:r w:rsidRPr="009F1886">
        <w:rPr>
          <w:rFonts w:eastAsia="Times New Roman" w:cs="Times New Roman"/>
          <w:sz w:val="24"/>
          <w:szCs w:val="24"/>
          <w:lang w:eastAsia="it-IT"/>
        </w:rPr>
        <w:t xml:space="preserve"> cioè un professionista dedicato alla gestione e alla manutenzione di impianti di elaborazione con cui vengano effettuati trattamenti di dati personali, è necessario applicare quanto disposto dal Garante, con provvedimento del 27 novembre 2008, tuttora applicabile</w:t>
      </w:r>
      <w:hyperlink r:id="rId8" w:anchor="post-46872-footnote-8" w:history="1"/>
      <w:r w:rsidRPr="009F1886">
        <w:rPr>
          <w:rFonts w:eastAsia="Times New Roman" w:cs="Times New Roman"/>
          <w:sz w:val="24"/>
          <w:szCs w:val="24"/>
          <w:lang w:eastAsia="it-IT"/>
        </w:rPr>
        <w:t>. Quindi:</w:t>
      </w:r>
    </w:p>
    <w:p w:rsidR="000205CA" w:rsidRPr="009F1886" w:rsidRDefault="000205CA" w:rsidP="00C301E0">
      <w:pPr>
        <w:numPr>
          <w:ilvl w:val="0"/>
          <w:numId w:val="4"/>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l’amministratore di sistema dovrà essere </w:t>
      </w:r>
      <w:r w:rsidRPr="009F1886">
        <w:rPr>
          <w:rFonts w:eastAsia="Times New Roman" w:cs="Times New Roman"/>
          <w:b/>
          <w:bCs/>
          <w:sz w:val="24"/>
          <w:szCs w:val="24"/>
          <w:lang w:eastAsia="it-IT"/>
        </w:rPr>
        <w:t>designato con atto scritto individuale</w:t>
      </w:r>
      <w:r w:rsidRPr="009F1886">
        <w:rPr>
          <w:rFonts w:eastAsia="Times New Roman" w:cs="Times New Roman"/>
          <w:sz w:val="24"/>
          <w:szCs w:val="24"/>
          <w:lang w:eastAsia="it-IT"/>
        </w:rPr>
        <w:t xml:space="preserve"> che rechi l’elencazione analitica degli ambiti di operatività consentiti in base al profilo di autorizzazione assegnato;</w:t>
      </w:r>
    </w:p>
    <w:p w:rsidR="000205CA" w:rsidRPr="009F1886" w:rsidRDefault="000205CA" w:rsidP="00C301E0">
      <w:pPr>
        <w:numPr>
          <w:ilvl w:val="0"/>
          <w:numId w:val="4"/>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 xml:space="preserve">gli </w:t>
      </w:r>
      <w:r w:rsidRPr="009F1886">
        <w:rPr>
          <w:rFonts w:eastAsia="Times New Roman" w:cs="Times New Roman"/>
          <w:b/>
          <w:bCs/>
          <w:sz w:val="24"/>
          <w:szCs w:val="24"/>
          <w:lang w:eastAsia="it-IT"/>
        </w:rPr>
        <w:t>estremi identificativi</w:t>
      </w:r>
      <w:r w:rsidRPr="009F1886">
        <w:rPr>
          <w:rFonts w:eastAsia="Times New Roman" w:cs="Times New Roman"/>
          <w:sz w:val="24"/>
          <w:szCs w:val="24"/>
          <w:lang w:eastAsia="it-IT"/>
        </w:rPr>
        <w:t xml:space="preserve"> delle persone fisiche designate amministratori di sistema, con </w:t>
      </w:r>
      <w:r w:rsidRPr="009F1886">
        <w:rPr>
          <w:rFonts w:eastAsia="Times New Roman" w:cs="Times New Roman"/>
          <w:b/>
          <w:bCs/>
          <w:sz w:val="24"/>
          <w:szCs w:val="24"/>
          <w:lang w:eastAsia="it-IT"/>
        </w:rPr>
        <w:t>l’elenco delle funzioni ad essi attribuite,</w:t>
      </w:r>
      <w:r w:rsidRPr="009F1886">
        <w:rPr>
          <w:rFonts w:eastAsia="Times New Roman" w:cs="Times New Roman"/>
          <w:sz w:val="24"/>
          <w:szCs w:val="24"/>
          <w:lang w:eastAsia="it-IT"/>
        </w:rPr>
        <w:t xml:space="preserve"> devono essere riportati in un documento interno da mantenere aggiornato e disponibile in caso di accertamenti da parte del Garante;</w:t>
      </w:r>
    </w:p>
    <w:p w:rsidR="000205CA" w:rsidRPr="009F1886" w:rsidRDefault="000205CA" w:rsidP="00C301E0">
      <w:pPr>
        <w:numPr>
          <w:ilvl w:val="0"/>
          <w:numId w:val="4"/>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 xml:space="preserve">qualora l’attività degli amministratori di sistema riguardi anche indirettamente servizi o sistemi che trattano o che permettono il trattamento di informazioni di carattere personale dei lavoratori, </w:t>
      </w:r>
      <w:r w:rsidRPr="009F1886">
        <w:rPr>
          <w:rFonts w:eastAsia="Times New Roman" w:cs="Times New Roman"/>
          <w:b/>
          <w:bCs/>
          <w:sz w:val="24"/>
          <w:szCs w:val="24"/>
          <w:lang w:eastAsia="it-IT"/>
        </w:rPr>
        <w:t>i titolari pubblici e privati</w:t>
      </w:r>
      <w:r w:rsidRPr="009F1886">
        <w:rPr>
          <w:rFonts w:eastAsia="Times New Roman" w:cs="Times New Roman"/>
          <w:sz w:val="24"/>
          <w:szCs w:val="24"/>
          <w:lang w:eastAsia="it-IT"/>
        </w:rPr>
        <w:t xml:space="preserve"> sono tenuti a rendere nota o conoscibile l’identità degli amministratori di sistema nell’ambito delle proprie organizzazioni, secondo le caratteristiche dell´azienda o del servizio, in relazione ai diversi servizi informatici cui questi sono preposti. Ciò, avvalendosi dell’informativa resa agli interessati ai sensi dell’art. 13 GDPR e dell’art.4. comma 3 dello Statuto dei Lavoratori.</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Dopo aver implementato le misure di sicurezza organizzative, in attuazione di quanto prescritto dall’art.32, par.1, lettera d) GDPR, l’esercente le funzioni di titolare o un suo idoneo delegato deve predisporre una procedura per testare, verificare e valutare regolarmente l’efficacia delle misure tecniche e organizzative al fine di garantire la sicurezza del trattamento.</w:t>
      </w:r>
    </w:p>
    <w:p w:rsidR="000205CA" w:rsidRPr="009F1886" w:rsidRDefault="000205CA" w:rsidP="00C301E0">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Si tratta del noto </w:t>
      </w:r>
      <w:hyperlink r:id="rId9" w:history="1">
        <w:proofErr w:type="spellStart"/>
        <w:r w:rsidRPr="009F1886">
          <w:rPr>
            <w:rFonts w:eastAsia="Times New Roman" w:cs="Times New Roman"/>
            <w:b/>
            <w:bCs/>
            <w:sz w:val="24"/>
            <w:szCs w:val="24"/>
            <w:lang w:eastAsia="it-IT"/>
          </w:rPr>
          <w:t>penetration</w:t>
        </w:r>
        <w:proofErr w:type="spellEnd"/>
        <w:r w:rsidRPr="009F1886">
          <w:rPr>
            <w:rFonts w:eastAsia="Times New Roman" w:cs="Times New Roman"/>
            <w:b/>
            <w:bCs/>
            <w:sz w:val="24"/>
            <w:szCs w:val="24"/>
            <w:lang w:eastAsia="it-IT"/>
          </w:rPr>
          <w:t xml:space="preserve"> test (o </w:t>
        </w:r>
        <w:proofErr w:type="spellStart"/>
        <w:r w:rsidRPr="009F1886">
          <w:rPr>
            <w:rFonts w:eastAsia="Times New Roman" w:cs="Times New Roman"/>
            <w:b/>
            <w:bCs/>
            <w:sz w:val="24"/>
            <w:szCs w:val="24"/>
            <w:lang w:eastAsia="it-IT"/>
          </w:rPr>
          <w:t>pen</w:t>
        </w:r>
        <w:proofErr w:type="spellEnd"/>
        <w:r w:rsidRPr="009F1886">
          <w:rPr>
            <w:rFonts w:eastAsia="Times New Roman" w:cs="Times New Roman"/>
            <w:b/>
            <w:bCs/>
            <w:sz w:val="24"/>
            <w:szCs w:val="24"/>
            <w:lang w:eastAsia="it-IT"/>
          </w:rPr>
          <w:t>-test)</w:t>
        </w:r>
      </w:hyperlink>
      <w:r w:rsidRPr="009F1886">
        <w:rPr>
          <w:rFonts w:eastAsia="Times New Roman" w:cs="Times New Roman"/>
          <w:sz w:val="24"/>
          <w:szCs w:val="24"/>
          <w:lang w:eastAsia="it-IT"/>
        </w:rPr>
        <w:t xml:space="preserve"> eseguito dai </w:t>
      </w:r>
      <w:r w:rsidRPr="009F1886">
        <w:rPr>
          <w:rFonts w:eastAsia="Times New Roman" w:cs="Times New Roman"/>
          <w:b/>
          <w:bCs/>
          <w:sz w:val="24"/>
          <w:szCs w:val="24"/>
          <w:lang w:eastAsia="it-IT"/>
        </w:rPr>
        <w:t xml:space="preserve">White </w:t>
      </w:r>
      <w:proofErr w:type="spellStart"/>
      <w:r w:rsidRPr="009F1886">
        <w:rPr>
          <w:rFonts w:eastAsia="Times New Roman" w:cs="Times New Roman"/>
          <w:b/>
          <w:bCs/>
          <w:sz w:val="24"/>
          <w:szCs w:val="24"/>
          <w:lang w:eastAsia="it-IT"/>
        </w:rPr>
        <w:t>hat</w:t>
      </w:r>
      <w:proofErr w:type="spellEnd"/>
      <w:r w:rsidRPr="009F1886">
        <w:rPr>
          <w:rFonts w:eastAsia="Times New Roman" w:cs="Times New Roman"/>
          <w:b/>
          <w:bCs/>
          <w:sz w:val="24"/>
          <w:szCs w:val="24"/>
          <w:lang w:eastAsia="it-IT"/>
        </w:rPr>
        <w:t xml:space="preserve"> hackers</w:t>
      </w:r>
      <w:r w:rsidRPr="009F1886">
        <w:rPr>
          <w:rFonts w:eastAsia="Times New Roman" w:cs="Times New Roman"/>
          <w:sz w:val="24"/>
          <w:szCs w:val="24"/>
          <w:lang w:eastAsia="it-IT"/>
        </w:rPr>
        <w:t xml:space="preserve"> funzionale ad analizzare e valutare la robustezza di un sistema informatico.</w:t>
      </w:r>
    </w:p>
    <w:p w:rsidR="00C301E0" w:rsidRPr="009F1886" w:rsidRDefault="00C301E0" w:rsidP="000205CA">
      <w:pPr>
        <w:pBdr>
          <w:bottom w:val="single" w:sz="6" w:space="12" w:color="E0E0E0"/>
        </w:pBdr>
        <w:spacing w:after="0" w:line="240" w:lineRule="auto"/>
        <w:jc w:val="both"/>
        <w:outlineLvl w:val="2"/>
        <w:rPr>
          <w:rFonts w:eastAsia="Times New Roman" w:cs="Times New Roman"/>
          <w:b/>
          <w:bCs/>
          <w:sz w:val="24"/>
          <w:szCs w:val="24"/>
          <w:lang w:eastAsia="it-IT"/>
        </w:rPr>
      </w:pP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Documentazione delle valutazioni di impatto (DPIA)</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Mentre, come si è visto, le valutazioni di sicurezza devono essere eseguite su tutti i trattamenti, le valutazioni di impatto vanno effettuate solo quando il trattamento prevede l’uso di nuove tecnologie e può presentare un rischio elevato per i diritti e le libertà delle persone fisiche.</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L’articolo 35 del GDPR indica i criteri in base ai quali si individuano i casi nei quali la DPIA è necessaria e il provvedimento del GPDP n. 467 dell’11/10/2018 pone analiticamente l’elenco delle tipologie di trattamenti da sottoporre a valutazione di impatto.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Quindi l’esercente o un idoneo delegato, specificamente indicato sul Privacy Dashboard dovrà eseguire e documentare il processo sviluppato seguendo precisamente </w:t>
      </w:r>
      <w:r w:rsidRPr="009F1886">
        <w:rPr>
          <w:rFonts w:eastAsia="Times New Roman" w:cs="Times New Roman"/>
          <w:b/>
          <w:bCs/>
          <w:sz w:val="24"/>
          <w:szCs w:val="24"/>
          <w:lang w:eastAsia="it-IT"/>
        </w:rPr>
        <w:t>le Linee Guida WP 248 rev.01 adottate dal WP29 il 4 ottobre 2017</w:t>
      </w:r>
      <w:r w:rsidRPr="009F1886">
        <w:rPr>
          <w:rFonts w:eastAsia="Times New Roman" w:cs="Times New Roman"/>
          <w:sz w:val="24"/>
          <w:szCs w:val="24"/>
          <w:lang w:eastAsia="it-IT"/>
        </w:rPr>
        <w:t>.</w:t>
      </w:r>
    </w:p>
    <w:p w:rsidR="00C301E0" w:rsidRPr="009F1886" w:rsidRDefault="00C301E0" w:rsidP="000205CA">
      <w:pPr>
        <w:pBdr>
          <w:bottom w:val="single" w:sz="6" w:space="12" w:color="E0E0E0"/>
        </w:pBdr>
        <w:spacing w:after="0" w:line="240" w:lineRule="auto"/>
        <w:jc w:val="both"/>
        <w:outlineLvl w:val="2"/>
        <w:rPr>
          <w:rFonts w:eastAsia="Times New Roman" w:cs="Times New Roman"/>
          <w:b/>
          <w:bCs/>
          <w:sz w:val="24"/>
          <w:szCs w:val="24"/>
          <w:lang w:eastAsia="it-IT"/>
        </w:rPr>
      </w:pP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 xml:space="preserve">Documenti concernenti la gestione di eventuali data </w:t>
      </w:r>
      <w:proofErr w:type="spellStart"/>
      <w:r w:rsidRPr="000205CA">
        <w:rPr>
          <w:rFonts w:eastAsia="Times New Roman" w:cs="Times New Roman"/>
          <w:b/>
          <w:bCs/>
          <w:color w:val="424242"/>
          <w:sz w:val="24"/>
          <w:szCs w:val="24"/>
          <w:lang w:eastAsia="it-IT"/>
        </w:rPr>
        <w:t>breach</w:t>
      </w:r>
      <w:proofErr w:type="spellEnd"/>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Le misure di sicurezza sopra descritte per quanto accurate possano essere, non potranno mai annullare la probabilità che si verifichi un </w:t>
      </w:r>
      <w:hyperlink r:id="rId10" w:history="1">
        <w:r w:rsidRPr="009F1886">
          <w:rPr>
            <w:rFonts w:eastAsia="Times New Roman" w:cs="Times New Roman"/>
            <w:b/>
            <w:bCs/>
            <w:sz w:val="24"/>
            <w:szCs w:val="24"/>
            <w:lang w:eastAsia="it-IT"/>
          </w:rPr>
          <w:t xml:space="preserve">data </w:t>
        </w:r>
        <w:proofErr w:type="spellStart"/>
        <w:r w:rsidRPr="009F1886">
          <w:rPr>
            <w:rFonts w:eastAsia="Times New Roman" w:cs="Times New Roman"/>
            <w:b/>
            <w:bCs/>
            <w:sz w:val="24"/>
            <w:szCs w:val="24"/>
            <w:lang w:eastAsia="it-IT"/>
          </w:rPr>
          <w:t>breach</w:t>
        </w:r>
        <w:proofErr w:type="spellEnd"/>
      </w:hyperlink>
      <w:r w:rsidRPr="009F1886">
        <w:rPr>
          <w:rFonts w:eastAsia="Times New Roman" w:cs="Times New Roman"/>
          <w:sz w:val="24"/>
          <w:szCs w:val="24"/>
          <w:lang w:eastAsia="it-IT"/>
        </w:rPr>
        <w:t xml:space="preserve"> cioè una violazione di sicurezza.</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Quali sono gli oneri di documentazione in questo caso?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Quando si verifica un data </w:t>
      </w:r>
      <w:proofErr w:type="spellStart"/>
      <w:r w:rsidRPr="009F1886">
        <w:rPr>
          <w:rFonts w:eastAsia="Times New Roman" w:cs="Times New Roman"/>
          <w:sz w:val="24"/>
          <w:szCs w:val="24"/>
          <w:lang w:eastAsia="it-IT"/>
        </w:rPr>
        <w:t>breach</w:t>
      </w:r>
      <w:proofErr w:type="spellEnd"/>
      <w:r w:rsidRPr="009F1886">
        <w:rPr>
          <w:rFonts w:eastAsia="Times New Roman" w:cs="Times New Roman"/>
          <w:sz w:val="24"/>
          <w:szCs w:val="24"/>
          <w:lang w:eastAsia="it-IT"/>
        </w:rPr>
        <w:t xml:space="preserve"> il titolare deve:</w:t>
      </w:r>
    </w:p>
    <w:p w:rsidR="000205CA" w:rsidRPr="009F1886" w:rsidRDefault="000205CA" w:rsidP="000205CA">
      <w:pPr>
        <w:numPr>
          <w:ilvl w:val="0"/>
          <w:numId w:val="5"/>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notificare entro 72 ore al Garante ai sensi dell’art. 33 la violazione, solo se questa presenta un rischio per i diritti e le libertà delle persone fisiche;</w:t>
      </w:r>
    </w:p>
    <w:p w:rsidR="000205CA" w:rsidRPr="009F1886" w:rsidRDefault="000205CA" w:rsidP="000205CA">
      <w:pPr>
        <w:numPr>
          <w:ilvl w:val="0"/>
          <w:numId w:val="5"/>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lastRenderedPageBreak/>
        <w:t>comunicare agli interessati la violazione, quando questa è suscettibile di presentare un rischio elevato per i diritti e le libertà delle persone fisiche;</w:t>
      </w:r>
    </w:p>
    <w:p w:rsidR="000205CA" w:rsidRPr="009F1886" w:rsidRDefault="000205CA" w:rsidP="000205CA">
      <w:pPr>
        <w:numPr>
          <w:ilvl w:val="0"/>
          <w:numId w:val="5"/>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documentare qualsiasi violazione dei dati personali (anche quelle non notificate al Garante e non comunicate agli interessati) comprese le circostanze a essa relative, le sue conseguenze e i provvedimenti adottati per porvi rimedio.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Pertanto il titolare ha l’obbligo di tenere un registro delle violazioni di sicurezza da mantenere aggiornato.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Inoltre, poiché è necessario reagire al data </w:t>
      </w:r>
      <w:proofErr w:type="spellStart"/>
      <w:r w:rsidRPr="009F1886">
        <w:rPr>
          <w:rFonts w:eastAsia="Times New Roman" w:cs="Times New Roman"/>
          <w:sz w:val="24"/>
          <w:szCs w:val="24"/>
          <w:lang w:eastAsia="it-IT"/>
        </w:rPr>
        <w:t>breach</w:t>
      </w:r>
      <w:proofErr w:type="spellEnd"/>
      <w:r w:rsidRPr="009F1886">
        <w:rPr>
          <w:rFonts w:eastAsia="Times New Roman" w:cs="Times New Roman"/>
          <w:sz w:val="24"/>
          <w:szCs w:val="24"/>
          <w:lang w:eastAsia="it-IT"/>
        </w:rPr>
        <w:t xml:space="preserve"> in modo tempestivo, strutturato ed efficace appare opportuno predisporre una procedura di gestione della violazione individuando le entità coinvolte nel particolare processo ed affidando loro appositi compiti per iscritto.</w:t>
      </w:r>
    </w:p>
    <w:p w:rsidR="00C301E0" w:rsidRDefault="00C301E0"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p>
    <w:p w:rsidR="000205CA" w:rsidRPr="000205CA" w:rsidRDefault="000205CA" w:rsidP="000205CA">
      <w:pPr>
        <w:pBdr>
          <w:bottom w:val="single" w:sz="6" w:space="12" w:color="E0E0E0"/>
        </w:pBdr>
        <w:spacing w:after="0" w:line="240" w:lineRule="auto"/>
        <w:jc w:val="both"/>
        <w:outlineLvl w:val="2"/>
        <w:rPr>
          <w:rFonts w:eastAsia="Times New Roman" w:cs="Times New Roman"/>
          <w:b/>
          <w:bCs/>
          <w:color w:val="424242"/>
          <w:sz w:val="24"/>
          <w:szCs w:val="24"/>
          <w:lang w:eastAsia="it-IT"/>
        </w:rPr>
      </w:pPr>
      <w:r w:rsidRPr="000205CA">
        <w:rPr>
          <w:rFonts w:eastAsia="Times New Roman" w:cs="Times New Roman"/>
          <w:b/>
          <w:bCs/>
          <w:color w:val="424242"/>
          <w:sz w:val="24"/>
          <w:szCs w:val="24"/>
          <w:lang w:eastAsia="it-IT"/>
        </w:rPr>
        <w:t>Documentazione dei flussi di comunicazione: con il DPO, a terzi e fuori dal SEE</w:t>
      </w:r>
    </w:p>
    <w:p w:rsidR="000205CA" w:rsidRPr="009F1886" w:rsidRDefault="000205CA" w:rsidP="000205CA">
      <w:pPr>
        <w:spacing w:after="0" w:line="240" w:lineRule="auto"/>
        <w:jc w:val="both"/>
        <w:rPr>
          <w:rFonts w:eastAsia="Times New Roman" w:cs="Times New Roman"/>
          <w:sz w:val="24"/>
          <w:szCs w:val="24"/>
          <w:lang w:eastAsia="it-IT"/>
        </w:rPr>
      </w:pPr>
      <w:bookmarkStart w:id="0" w:name="_GoBack"/>
      <w:r w:rsidRPr="009F1886">
        <w:rPr>
          <w:rFonts w:eastAsia="Times New Roman" w:cs="Times New Roman"/>
          <w:sz w:val="24"/>
          <w:szCs w:val="24"/>
          <w:lang w:eastAsia="it-IT"/>
        </w:rPr>
        <w:t>Il titolare del trattamento deve assicurarsi che il DPO sia tempestivamente e adeguatamente coinvolto in tutte le questioni riguardanti la protezione dei dati personali</w:t>
      </w:r>
      <w:hyperlink r:id="rId11" w:anchor="post-46872-footnote-10" w:history="1">
        <w:r w:rsidRPr="009F1886">
          <w:rPr>
            <w:rFonts w:eastAsia="Times New Roman" w:cs="Times New Roman"/>
            <w:sz w:val="24"/>
            <w:szCs w:val="24"/>
            <w:u w:val="single"/>
            <w:vertAlign w:val="superscript"/>
            <w:lang w:eastAsia="it-IT"/>
          </w:rPr>
          <w:t>[10]</w:t>
        </w:r>
      </w:hyperlink>
      <w:r w:rsidRPr="009F1886">
        <w:rPr>
          <w:rFonts w:eastAsia="Times New Roman" w:cs="Times New Roman"/>
          <w:sz w:val="24"/>
          <w:szCs w:val="24"/>
          <w:lang w:eastAsia="it-IT"/>
        </w:rPr>
        <w:t>, al fine di consentirgli lo svolgimento dei compiti di consulenza nei confronti del titolare medesimo, oltre che di sorveglianza sulla conformità dei trattamenti, che gli sono attribuiti dal GDPR.</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Quindi devono essere adeguatamente documentati:</w:t>
      </w:r>
    </w:p>
    <w:p w:rsidR="000205CA" w:rsidRPr="009F1886" w:rsidRDefault="000205CA" w:rsidP="000205CA">
      <w:pPr>
        <w:numPr>
          <w:ilvl w:val="0"/>
          <w:numId w:val="6"/>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tutti gli atti connessi alla designazione del DPO;</w:t>
      </w:r>
    </w:p>
    <w:p w:rsidR="000205CA" w:rsidRPr="009F1886" w:rsidRDefault="000205CA" w:rsidP="000205CA">
      <w:pPr>
        <w:numPr>
          <w:ilvl w:val="0"/>
          <w:numId w:val="6"/>
        </w:numPr>
        <w:spacing w:after="0" w:line="240" w:lineRule="auto"/>
        <w:ind w:left="1560"/>
        <w:jc w:val="both"/>
        <w:rPr>
          <w:rFonts w:eastAsia="Times New Roman" w:cs="Times New Roman"/>
          <w:sz w:val="24"/>
          <w:szCs w:val="24"/>
          <w:lang w:eastAsia="it-IT"/>
        </w:rPr>
      </w:pPr>
      <w:r w:rsidRPr="009F1886">
        <w:rPr>
          <w:rFonts w:eastAsia="Times New Roman" w:cs="Times New Roman"/>
          <w:sz w:val="24"/>
          <w:szCs w:val="24"/>
          <w:lang w:eastAsia="it-IT"/>
        </w:rPr>
        <w:t>tutti i flussi di comunicazione con il DPO.</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È importante precisare che il titolare, nei casi in cui decida di non seguire le indicazioni offerte dal DPO, deve redigere e conservare un documento nel quale indichi i motivi per i quali ha inteso assumere la decisione difforme dalle indicazioni e dai suggerimenti ricevuti.</w:t>
      </w:r>
    </w:p>
    <w:p w:rsidR="000205CA" w:rsidRPr="009F1886" w:rsidRDefault="000205CA" w:rsidP="000205CA">
      <w:pPr>
        <w:spacing w:after="0" w:line="240" w:lineRule="auto"/>
        <w:jc w:val="both"/>
        <w:rPr>
          <w:rFonts w:eastAsia="Times New Roman" w:cs="Times New Roman"/>
          <w:sz w:val="24"/>
          <w:szCs w:val="24"/>
          <w:lang w:eastAsia="it-IT"/>
        </w:rPr>
      </w:pPr>
      <w:r w:rsidRPr="009F1886">
        <w:rPr>
          <w:rFonts w:eastAsia="Times New Roman" w:cs="Times New Roman"/>
          <w:sz w:val="24"/>
          <w:szCs w:val="24"/>
          <w:lang w:eastAsia="it-IT"/>
        </w:rPr>
        <w:t>La comunicazione dei dati a terzi e l’esportazione dei dati al di fuori dello SEE vanno adeguatamente documentate, magari anche strutturando specifiche procedure nelle quali vengano specificati i presupposti, i contesti e le modalità di effettuazione delle comunicazioni a terzi e dell’esportazione di dati personali. Come si è detto, questo tipo di documentazione deve trovare riscontro nelle informative rese agli interessati ai sensi degli artt. 13 e 14 GDPR.</w:t>
      </w:r>
    </w:p>
    <w:p w:rsidR="000205CA" w:rsidRPr="009F1886" w:rsidRDefault="000205CA" w:rsidP="000205CA">
      <w:pPr>
        <w:spacing w:after="240" w:line="240" w:lineRule="auto"/>
        <w:rPr>
          <w:rFonts w:eastAsia="Times New Roman" w:cs="Times New Roman"/>
          <w:sz w:val="27"/>
          <w:szCs w:val="27"/>
          <w:lang w:eastAsia="it-IT"/>
        </w:rPr>
      </w:pPr>
    </w:p>
    <w:p w:rsidR="000205CA" w:rsidRPr="009F1886" w:rsidRDefault="000205CA" w:rsidP="000205CA">
      <w:pPr>
        <w:spacing w:after="240" w:line="240" w:lineRule="auto"/>
        <w:jc w:val="both"/>
        <w:rPr>
          <w:rFonts w:eastAsia="Times New Roman" w:cs="Times New Roman"/>
          <w:sz w:val="24"/>
          <w:szCs w:val="24"/>
          <w:lang w:eastAsia="it-IT"/>
        </w:rPr>
      </w:pPr>
      <w:r w:rsidRPr="009F1886">
        <w:rPr>
          <w:rFonts w:eastAsia="Times New Roman" w:cs="Times New Roman"/>
          <w:sz w:val="24"/>
          <w:szCs w:val="24"/>
          <w:lang w:eastAsia="it-IT"/>
        </w:rPr>
        <w:t>Tutti gli adempimenti finora descritti costituiscono un arduo onere organizzativo che però è bene adempiere per proteggere in concreto i diritti e le libertà fondamentali delle persone fisiche e per creare il clima di fiducia necessario per la libera circolazione dei dati personali ed il connesso sviluppo dell’economia 4.0.</w:t>
      </w:r>
    </w:p>
    <w:p w:rsidR="000205CA" w:rsidRPr="009F1886" w:rsidRDefault="000205CA" w:rsidP="000205CA">
      <w:pPr>
        <w:spacing w:after="240" w:line="240" w:lineRule="auto"/>
        <w:jc w:val="both"/>
        <w:rPr>
          <w:rFonts w:eastAsia="Times New Roman" w:cs="Times New Roman"/>
          <w:sz w:val="24"/>
          <w:szCs w:val="24"/>
          <w:lang w:eastAsia="it-IT"/>
        </w:rPr>
      </w:pPr>
      <w:r w:rsidRPr="009F1886">
        <w:rPr>
          <w:rFonts w:eastAsia="Times New Roman" w:cs="Times New Roman"/>
          <w:sz w:val="24"/>
          <w:szCs w:val="24"/>
          <w:lang w:eastAsia="it-IT"/>
        </w:rPr>
        <w:t>Ma se questi alti obiettivi non costituiscono per i titolari sufficienti fattori di motivazione, si consideri la probabilità di pesanti e dissuasive sanzioni in caso di inadempimento.</w:t>
      </w:r>
    </w:p>
    <w:p w:rsidR="000205CA" w:rsidRPr="009F1886" w:rsidRDefault="000205CA" w:rsidP="000205CA">
      <w:pPr>
        <w:spacing w:after="240" w:line="240" w:lineRule="auto"/>
        <w:jc w:val="both"/>
        <w:rPr>
          <w:rFonts w:eastAsia="Times New Roman" w:cs="Times New Roman"/>
          <w:sz w:val="24"/>
          <w:szCs w:val="24"/>
          <w:lang w:eastAsia="it-IT"/>
        </w:rPr>
      </w:pPr>
      <w:r w:rsidRPr="009F1886">
        <w:rPr>
          <w:rFonts w:eastAsia="Times New Roman" w:cs="Times New Roman"/>
          <w:sz w:val="24"/>
          <w:szCs w:val="24"/>
          <w:lang w:eastAsia="it-IT"/>
        </w:rPr>
        <w:t>Valga come monito la sanzione pecuniaria di 300.000 euro che all’inizio del 2021 il Garante ha irrogato ad un importante Ente pubblico perché, tra l’altro, dopo l’ispezione, quanto dichiarato dallo stesso Ente nelle note di controdeduzione “non è stato supportato da un’adeguata documentazione atta a comprovare quali livelli decisionali erano stati coinvolti, le valutazioni effettuate, le ragioni sottese alle decisioni prese e le misure adottate in relazione al trattamento dei dati personali (si pensi agli aspetti sulla valutazione del rischio o alla valutazione di impatto sulla protezione dei dati).</w:t>
      </w:r>
    </w:p>
    <w:p w:rsidR="000205CA" w:rsidRPr="009F1886" w:rsidRDefault="000205CA" w:rsidP="000205CA">
      <w:pPr>
        <w:spacing w:after="240" w:line="240" w:lineRule="auto"/>
        <w:jc w:val="both"/>
        <w:rPr>
          <w:rFonts w:eastAsia="Times New Roman" w:cs="Times New Roman"/>
          <w:sz w:val="24"/>
          <w:szCs w:val="24"/>
          <w:lang w:eastAsia="it-IT"/>
        </w:rPr>
      </w:pPr>
      <w:r w:rsidRPr="009F1886">
        <w:rPr>
          <w:rFonts w:eastAsia="Times New Roman" w:cs="Times New Roman"/>
          <w:sz w:val="24"/>
          <w:szCs w:val="24"/>
          <w:lang w:eastAsia="it-IT"/>
        </w:rPr>
        <w:t xml:space="preserve">Peraltro, non è nemmeno emerso un adeguato coinvolgimento, da parte del titolare del trattamento, del ruolo del DPO, considerato che invece, sulla base del Regolamento, quest’ultimo </w:t>
      </w:r>
      <w:r w:rsidRPr="009F1886">
        <w:rPr>
          <w:rFonts w:eastAsia="Times New Roman" w:cs="Times New Roman"/>
          <w:sz w:val="24"/>
          <w:szCs w:val="24"/>
          <w:lang w:eastAsia="it-IT"/>
        </w:rPr>
        <w:lastRenderedPageBreak/>
        <w:t>avrebbe dovuto essere tempestivamente e adeguatamente coinvolto in tutte le questioni riguardanti la protezione dei dati personali”.</w:t>
      </w:r>
    </w:p>
    <w:bookmarkEnd w:id="0"/>
    <w:p w:rsidR="00154238" w:rsidRPr="009F1886" w:rsidRDefault="00154238"/>
    <w:sectPr w:rsidR="00154238" w:rsidRPr="009F18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782D"/>
    <w:multiLevelType w:val="multilevel"/>
    <w:tmpl w:val="74B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B5B09"/>
    <w:multiLevelType w:val="multilevel"/>
    <w:tmpl w:val="60E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D61DC"/>
    <w:multiLevelType w:val="multilevel"/>
    <w:tmpl w:val="194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B0ED7"/>
    <w:multiLevelType w:val="multilevel"/>
    <w:tmpl w:val="F4A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07DBC"/>
    <w:multiLevelType w:val="multilevel"/>
    <w:tmpl w:val="DF3C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967CE"/>
    <w:multiLevelType w:val="multilevel"/>
    <w:tmpl w:val="2AB4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CA"/>
    <w:rsid w:val="000205CA"/>
    <w:rsid w:val="00154238"/>
    <w:rsid w:val="009F1886"/>
    <w:rsid w:val="00C3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5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5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security360.it/legal/privacy-dati-personali/sistema-di-data-protection-la-documentazione-da-produrre-aggiornare-e-conservar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ybersecurity360.it/legal/privacy-dati-personali/dpia-e-gdpr-che-ce-da-sapere-per-una-corretta-valutazione-dei-rischi-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ybersecurity360.it/legal/privacy-dati-personali/sistema-di-data-protection-la-documentazione-da-produrre-aggiornare-e-conservare/" TargetMode="External"/><Relationship Id="rId11" Type="http://schemas.openxmlformats.org/officeDocument/2006/relationships/hyperlink" Target="https://www.cybersecurity360.it/legal/privacy-dati-personali/sistema-di-data-protection-la-documentazione-da-produrre-aggiornare-e-conservare/" TargetMode="External"/><Relationship Id="rId5" Type="http://schemas.openxmlformats.org/officeDocument/2006/relationships/webSettings" Target="webSettings.xml"/><Relationship Id="rId10" Type="http://schemas.openxmlformats.org/officeDocument/2006/relationships/hyperlink" Target="https://www.cybersecurity360.it/legal/data-breach-le-procedure-corrette-per-gestire-la-crisi/" TargetMode="External"/><Relationship Id="rId4" Type="http://schemas.openxmlformats.org/officeDocument/2006/relationships/settings" Target="settings.xml"/><Relationship Id="rId9" Type="http://schemas.openxmlformats.org/officeDocument/2006/relationships/hyperlink" Target="https://www.cybersecurity360.it/soluzioni-aziendali/penetration-test-cose-come-funziona-e-a-che-ser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3167</Words>
  <Characters>18058</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4</cp:revision>
  <dcterms:created xsi:type="dcterms:W3CDTF">2021-08-01T17:57:00Z</dcterms:created>
  <dcterms:modified xsi:type="dcterms:W3CDTF">2021-08-10T08:46:00Z</dcterms:modified>
</cp:coreProperties>
</file>